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32BC" w14:textId="2FF0F36A" w:rsidR="00720CC2" w:rsidRPr="00C45E1D" w:rsidRDefault="00720CC2" w:rsidP="008E420B">
      <w:pPr>
        <w:spacing w:line="360" w:lineRule="auto"/>
        <w:rPr>
          <w:rFonts w:eastAsiaTheme="minorHAnsi"/>
          <w:sz w:val="24"/>
          <w:szCs w:val="24"/>
        </w:rPr>
      </w:pPr>
      <w:r w:rsidRPr="00C45E1D">
        <w:rPr>
          <w:rFonts w:eastAsiaTheme="minorHAnsi" w:hint="eastAsia"/>
          <w:b/>
          <w:bCs/>
          <w:sz w:val="24"/>
          <w:szCs w:val="24"/>
        </w:rPr>
        <w:t>项目名称</w:t>
      </w:r>
      <w:r w:rsidRPr="00C45E1D">
        <w:rPr>
          <w:rFonts w:eastAsiaTheme="minorHAnsi" w:hint="eastAsia"/>
          <w:sz w:val="24"/>
          <w:szCs w:val="24"/>
        </w:rPr>
        <w:t>：</w:t>
      </w:r>
      <w:r w:rsidR="00D73644">
        <w:rPr>
          <w:rFonts w:eastAsiaTheme="minorHAnsi" w:hint="eastAsia"/>
          <w:sz w:val="24"/>
          <w:szCs w:val="24"/>
        </w:rPr>
        <w:t>肺癌精准诊治新分子靶标筛选及转化研究</w:t>
      </w:r>
      <w:r w:rsidRPr="00C45E1D">
        <w:rPr>
          <w:rFonts w:eastAsiaTheme="minorHAnsi"/>
          <w:sz w:val="24"/>
          <w:szCs w:val="24"/>
        </w:rPr>
        <w:t xml:space="preserve"> </w:t>
      </w:r>
    </w:p>
    <w:p w14:paraId="1B191EBF" w14:textId="77777777" w:rsidR="008E420B" w:rsidRDefault="00720CC2" w:rsidP="008E420B">
      <w:pPr>
        <w:spacing w:line="360" w:lineRule="auto"/>
        <w:rPr>
          <w:sz w:val="24"/>
          <w:szCs w:val="24"/>
        </w:rPr>
      </w:pPr>
      <w:r w:rsidRPr="00720CC2">
        <w:rPr>
          <w:rFonts w:hint="eastAsia"/>
          <w:b/>
          <w:bCs/>
          <w:sz w:val="24"/>
          <w:szCs w:val="24"/>
        </w:rPr>
        <w:t>完</w:t>
      </w:r>
      <w:r w:rsidRPr="00720CC2">
        <w:rPr>
          <w:b/>
          <w:bCs/>
          <w:sz w:val="24"/>
          <w:szCs w:val="24"/>
        </w:rPr>
        <w:t xml:space="preserve"> 成 人</w:t>
      </w:r>
      <w:r w:rsidR="008E420B">
        <w:rPr>
          <w:rFonts w:hint="eastAsia"/>
          <w:sz w:val="24"/>
          <w:szCs w:val="24"/>
        </w:rPr>
        <w:t xml:space="preserve"> </w:t>
      </w:r>
    </w:p>
    <w:p w14:paraId="06F04E7C" w14:textId="1F2BA2F0" w:rsidR="00720CC2" w:rsidRPr="00345668" w:rsidRDefault="008739CF" w:rsidP="008E420B">
      <w:pPr>
        <w:spacing w:line="360" w:lineRule="auto"/>
        <w:rPr>
          <w:sz w:val="24"/>
          <w:szCs w:val="24"/>
        </w:rPr>
      </w:pPr>
      <w:r w:rsidRPr="00345668">
        <w:rPr>
          <w:rFonts w:hint="eastAsia"/>
          <w:sz w:val="24"/>
          <w:szCs w:val="24"/>
        </w:rPr>
        <w:t>王朝霞，沈华，</w:t>
      </w:r>
      <w:r w:rsidR="00D73644">
        <w:rPr>
          <w:rFonts w:hint="eastAsia"/>
          <w:sz w:val="24"/>
          <w:szCs w:val="24"/>
        </w:rPr>
        <w:t>陈果，</w:t>
      </w:r>
      <w:r w:rsidRPr="00345668">
        <w:rPr>
          <w:rFonts w:hint="eastAsia"/>
          <w:sz w:val="24"/>
          <w:szCs w:val="24"/>
        </w:rPr>
        <w:t>陈昕</w:t>
      </w:r>
      <w:r w:rsidRPr="00345668">
        <w:rPr>
          <w:sz w:val="24"/>
          <w:szCs w:val="24"/>
        </w:rPr>
        <w:t>，</w:t>
      </w:r>
      <w:r w:rsidR="00D73644">
        <w:rPr>
          <w:rFonts w:hint="eastAsia"/>
          <w:sz w:val="24"/>
          <w:szCs w:val="24"/>
        </w:rPr>
        <w:t>魏晨晨，陈臻瑶，</w:t>
      </w:r>
      <w:r w:rsidRPr="00345668">
        <w:rPr>
          <w:rFonts w:hint="eastAsia"/>
          <w:sz w:val="24"/>
          <w:szCs w:val="24"/>
        </w:rPr>
        <w:t>陆彬彬</w:t>
      </w:r>
    </w:p>
    <w:p w14:paraId="2A0DB73E" w14:textId="5A5136A4" w:rsidR="00720CC2" w:rsidRPr="00720CC2" w:rsidRDefault="00720CC2" w:rsidP="008E420B">
      <w:pPr>
        <w:spacing w:line="360" w:lineRule="auto"/>
        <w:rPr>
          <w:sz w:val="24"/>
          <w:szCs w:val="24"/>
        </w:rPr>
      </w:pPr>
      <w:r w:rsidRPr="00720CC2">
        <w:rPr>
          <w:rFonts w:hint="eastAsia"/>
          <w:b/>
          <w:bCs/>
          <w:sz w:val="24"/>
          <w:szCs w:val="24"/>
        </w:rPr>
        <w:t>完成单位</w:t>
      </w:r>
      <w:r w:rsidR="008E420B">
        <w:rPr>
          <w:rFonts w:hint="eastAsia"/>
          <w:b/>
          <w:bCs/>
          <w:sz w:val="24"/>
          <w:szCs w:val="24"/>
        </w:rPr>
        <w:t xml:space="preserve">  </w:t>
      </w:r>
      <w:r w:rsidR="008E420B" w:rsidRPr="008E420B">
        <w:rPr>
          <w:sz w:val="24"/>
          <w:szCs w:val="24"/>
        </w:rPr>
        <w:t>南京医科大学第二附属医院、南京医科大学附属逸夫医院</w:t>
      </w:r>
      <w:r w:rsidR="00D73644">
        <w:rPr>
          <w:rFonts w:hint="eastAsia"/>
          <w:sz w:val="24"/>
          <w:szCs w:val="24"/>
        </w:rPr>
        <w:t>、</w:t>
      </w:r>
      <w:r w:rsidR="00721FBE">
        <w:rPr>
          <w:rFonts w:hint="eastAsia"/>
          <w:sz w:val="24"/>
          <w:szCs w:val="24"/>
        </w:rPr>
        <w:t>暨南大学</w:t>
      </w:r>
    </w:p>
    <w:p w14:paraId="0CD6BBCC" w14:textId="7B0F87F2" w:rsidR="00720CC2" w:rsidRDefault="00720CC2" w:rsidP="008E420B">
      <w:pPr>
        <w:spacing w:line="360" w:lineRule="auto"/>
        <w:rPr>
          <w:b/>
          <w:bCs/>
          <w:sz w:val="24"/>
          <w:szCs w:val="24"/>
        </w:rPr>
      </w:pPr>
      <w:r w:rsidRPr="00720CC2">
        <w:rPr>
          <w:rFonts w:hint="eastAsia"/>
          <w:b/>
          <w:bCs/>
          <w:sz w:val="24"/>
          <w:szCs w:val="24"/>
        </w:rPr>
        <w:t>主要知识产权目录：</w:t>
      </w:r>
    </w:p>
    <w:p w14:paraId="3AAFAA5E" w14:textId="6811453E" w:rsidR="00FA31FD" w:rsidRPr="00345668" w:rsidRDefault="00FA31FD" w:rsidP="00FA31FD">
      <w:pPr>
        <w:ind w:firstLine="314"/>
        <w:rPr>
          <w:rFonts w:asciiTheme="minorEastAsia" w:hAnsiTheme="minorEastAsia" w:cs="Times New Roman"/>
          <w:sz w:val="24"/>
          <w:szCs w:val="24"/>
        </w:rPr>
      </w:pPr>
      <w:r w:rsidRPr="00345668">
        <w:rPr>
          <w:rFonts w:asciiTheme="minorEastAsia" w:hAnsiTheme="minorEastAsia" w:hint="eastAsia"/>
          <w:sz w:val="24"/>
          <w:szCs w:val="24"/>
        </w:rPr>
        <w:t>国家发明专利名称：</w:t>
      </w:r>
      <w:r w:rsidR="00345668" w:rsidRPr="00345668">
        <w:rPr>
          <w:rFonts w:asciiTheme="minorEastAsia" w:hAnsiTheme="minorEastAsia" w:hint="eastAsia"/>
          <w:sz w:val="24"/>
          <w:szCs w:val="24"/>
        </w:rPr>
        <w:t xml:space="preserve"> </w:t>
      </w:r>
      <w:r w:rsidR="00345668" w:rsidRPr="00345668">
        <w:rPr>
          <w:rFonts w:asciiTheme="minorEastAsia" w:hAnsiTheme="minorEastAsia" w:cs="Times New Roman"/>
          <w:sz w:val="24"/>
          <w:szCs w:val="24"/>
        </w:rPr>
        <w:t>一种环状</w:t>
      </w:r>
      <w:r w:rsidR="00345668" w:rsidRPr="00345668">
        <w:rPr>
          <w:rFonts w:ascii="Times New Roman" w:hAnsi="Times New Roman" w:cs="Times New Roman"/>
          <w:sz w:val="24"/>
          <w:szCs w:val="24"/>
        </w:rPr>
        <w:t>RNA</w:t>
      </w:r>
      <w:r w:rsidR="00345668" w:rsidRPr="00345668">
        <w:rPr>
          <w:rFonts w:asciiTheme="minorEastAsia" w:hAnsiTheme="minorEastAsia" w:cs="Times New Roman"/>
          <w:sz w:val="24"/>
          <w:szCs w:val="24"/>
        </w:rPr>
        <w:t>及其应用</w:t>
      </w:r>
      <w:r w:rsidRPr="00345668">
        <w:rPr>
          <w:rFonts w:asciiTheme="minorEastAsia" w:hAnsiTheme="minorEastAsia" w:cs="Times New Roman"/>
          <w:sz w:val="24"/>
          <w:szCs w:val="24"/>
        </w:rPr>
        <w:t xml:space="preserve"> </w:t>
      </w:r>
    </w:p>
    <w:p w14:paraId="0027B477" w14:textId="68C8A091" w:rsidR="00FA31FD" w:rsidRPr="00345668" w:rsidRDefault="00FA31FD" w:rsidP="00FA31FD">
      <w:pPr>
        <w:ind w:firstLine="314"/>
        <w:rPr>
          <w:rFonts w:ascii="Times New Roman" w:hAnsi="Times New Roman" w:cs="Times New Roman"/>
          <w:sz w:val="24"/>
          <w:szCs w:val="24"/>
        </w:rPr>
      </w:pPr>
      <w:r w:rsidRPr="00345668">
        <w:rPr>
          <w:rFonts w:asciiTheme="minorEastAsia" w:hAnsiTheme="minorEastAsia" w:hint="eastAsia"/>
          <w:sz w:val="24"/>
          <w:szCs w:val="24"/>
        </w:rPr>
        <w:t>授权日期：</w:t>
      </w:r>
      <w:r w:rsidR="00345668" w:rsidRPr="00345668">
        <w:rPr>
          <w:rFonts w:ascii="Times New Roman" w:hAnsi="Times New Roman" w:cs="Times New Roman"/>
          <w:sz w:val="24"/>
          <w:szCs w:val="24"/>
        </w:rPr>
        <w:t>2022-05-07</w:t>
      </w:r>
      <w:r w:rsidRPr="00345668">
        <w:rPr>
          <w:rFonts w:ascii="Times New Roman" w:hAnsi="Times New Roman" w:cs="Times New Roman"/>
          <w:sz w:val="24"/>
          <w:szCs w:val="24"/>
        </w:rPr>
        <w:t xml:space="preserve"> </w:t>
      </w:r>
    </w:p>
    <w:p w14:paraId="0E42E451" w14:textId="77777777" w:rsidR="00FA31FD" w:rsidRPr="00345668" w:rsidRDefault="00FA31FD" w:rsidP="00FA31FD">
      <w:pPr>
        <w:ind w:firstLine="314"/>
        <w:rPr>
          <w:rFonts w:asciiTheme="minorEastAsia" w:hAnsiTheme="minorEastAsia"/>
          <w:sz w:val="24"/>
          <w:szCs w:val="24"/>
        </w:rPr>
      </w:pPr>
      <w:r w:rsidRPr="00345668">
        <w:rPr>
          <w:rFonts w:asciiTheme="minorEastAsia" w:hAnsiTheme="minorEastAsia" w:hint="eastAsia"/>
          <w:sz w:val="24"/>
          <w:szCs w:val="24"/>
        </w:rPr>
        <w:t>权利人：南京医科大学第二附属医院</w:t>
      </w:r>
      <w:r w:rsidRPr="00345668">
        <w:rPr>
          <w:rFonts w:asciiTheme="minorEastAsia" w:hAnsiTheme="minorEastAsia"/>
          <w:sz w:val="24"/>
          <w:szCs w:val="24"/>
        </w:rPr>
        <w:t xml:space="preserve"> </w:t>
      </w:r>
    </w:p>
    <w:p w14:paraId="373DBBEA" w14:textId="64A38B29" w:rsidR="00FA31FD" w:rsidRPr="00345668" w:rsidRDefault="00FA31FD" w:rsidP="00FA31FD">
      <w:pPr>
        <w:ind w:firstLine="314"/>
        <w:rPr>
          <w:rFonts w:asciiTheme="minorEastAsia" w:hAnsiTheme="minorEastAsia"/>
          <w:sz w:val="24"/>
          <w:szCs w:val="24"/>
        </w:rPr>
      </w:pPr>
      <w:r w:rsidRPr="00345668">
        <w:rPr>
          <w:rFonts w:asciiTheme="minorEastAsia" w:hAnsiTheme="minorEastAsia" w:hint="eastAsia"/>
          <w:sz w:val="24"/>
          <w:szCs w:val="24"/>
        </w:rPr>
        <w:t>发明人：</w:t>
      </w:r>
      <w:r w:rsidR="00345668" w:rsidRPr="00345668">
        <w:rPr>
          <w:rFonts w:asciiTheme="minorEastAsia" w:hAnsiTheme="minorEastAsia" w:hint="eastAsia"/>
          <w:sz w:val="24"/>
          <w:szCs w:val="24"/>
        </w:rPr>
        <w:t>王朝霞</w:t>
      </w:r>
      <w:r w:rsidRPr="00345668">
        <w:rPr>
          <w:rFonts w:asciiTheme="minorEastAsia" w:hAnsiTheme="minorEastAsia"/>
          <w:sz w:val="24"/>
          <w:szCs w:val="24"/>
        </w:rPr>
        <w:t xml:space="preserve"> </w:t>
      </w:r>
      <w:r w:rsidR="00345668" w:rsidRPr="00345668">
        <w:rPr>
          <w:rFonts w:asciiTheme="minorEastAsia" w:hAnsiTheme="minorEastAsia" w:hint="eastAsia"/>
          <w:sz w:val="24"/>
          <w:szCs w:val="24"/>
        </w:rPr>
        <w:t>陈臻瑶 陈昕 顾婧瑶</w:t>
      </w:r>
    </w:p>
    <w:p w14:paraId="35880EF3" w14:textId="2928F566" w:rsidR="00720CC2" w:rsidRDefault="00720CC2" w:rsidP="00B83237">
      <w:pPr>
        <w:spacing w:line="360" w:lineRule="auto"/>
        <w:rPr>
          <w:b/>
          <w:bCs/>
          <w:sz w:val="24"/>
          <w:szCs w:val="24"/>
        </w:rPr>
      </w:pPr>
      <w:r w:rsidRPr="00720CC2">
        <w:rPr>
          <w:rFonts w:hint="eastAsia"/>
          <w:b/>
          <w:bCs/>
          <w:sz w:val="24"/>
          <w:szCs w:val="24"/>
        </w:rPr>
        <w:t>代表性论文目录：</w:t>
      </w:r>
    </w:p>
    <w:p w14:paraId="5FDE94CD" w14:textId="7F080B81" w:rsidR="00D73644" w:rsidRPr="00F177CA" w:rsidRDefault="00D73644" w:rsidP="00CF71F1">
      <w:pPr>
        <w:pStyle w:val="a3"/>
        <w:numPr>
          <w:ilvl w:val="0"/>
          <w:numId w:val="7"/>
        </w:numPr>
        <w:spacing w:line="360" w:lineRule="auto"/>
        <w:ind w:firstLineChars="0"/>
        <w:rPr>
          <w:kern w:val="0"/>
          <w:sz w:val="24"/>
          <w:szCs w:val="24"/>
        </w:rPr>
      </w:pPr>
      <w:r w:rsidRPr="00F177CA">
        <w:rPr>
          <w:rFonts w:cs="Helvetica Neue"/>
          <w:kern w:val="0"/>
          <w:sz w:val="24"/>
          <w:szCs w:val="24"/>
        </w:rPr>
        <w:t xml:space="preserve">Chen Z, Chen X, Lu B, Gu Y, Chen Q, Lei T, Nie F, Gu J, Huang J, Wei C, Sun M, Wang Z. Up-regulated LINC01234 promotes non-small-cell lung cancer cell metastasis by activating VAV3 and repressing BTG2 expression. J </w:t>
      </w:r>
      <w:proofErr w:type="spellStart"/>
      <w:r w:rsidRPr="00F177CA">
        <w:rPr>
          <w:rFonts w:cs="Helvetica Neue"/>
          <w:kern w:val="0"/>
          <w:sz w:val="24"/>
          <w:szCs w:val="24"/>
        </w:rPr>
        <w:t>Hematol</w:t>
      </w:r>
      <w:proofErr w:type="spellEnd"/>
      <w:r w:rsidRPr="00F177CA">
        <w:rPr>
          <w:rFonts w:cs="Helvetica Neue"/>
          <w:kern w:val="0"/>
          <w:sz w:val="24"/>
          <w:szCs w:val="24"/>
        </w:rPr>
        <w:t xml:space="preserve"> Oncol. 2020; 13(1): 7.</w:t>
      </w:r>
      <w:r w:rsidRPr="00F177CA">
        <w:rPr>
          <w:kern w:val="0"/>
          <w:sz w:val="24"/>
          <w:szCs w:val="24"/>
        </w:rPr>
        <w:t xml:space="preserve"> </w:t>
      </w:r>
    </w:p>
    <w:p w14:paraId="235B13F0" w14:textId="55C8E24E" w:rsidR="00D73644" w:rsidRPr="00F177CA" w:rsidRDefault="00D73644" w:rsidP="00CF71F1">
      <w:pPr>
        <w:pStyle w:val="a3"/>
        <w:numPr>
          <w:ilvl w:val="0"/>
          <w:numId w:val="7"/>
        </w:numPr>
        <w:spacing w:line="360" w:lineRule="auto"/>
        <w:ind w:firstLineChars="0"/>
        <w:rPr>
          <w:sz w:val="24"/>
          <w:szCs w:val="24"/>
        </w:rPr>
      </w:pPr>
      <w:r w:rsidRPr="00F177CA">
        <w:rPr>
          <w:rFonts w:cs="Helvetica Neue"/>
          <w:kern w:val="0"/>
          <w:sz w:val="24"/>
          <w:szCs w:val="24"/>
        </w:rPr>
        <w:t>Chen Z Chen X, Lei T, Gu Y, Gu J, Huang J, Lu B, Yuan L, Sun M, Wang Z</w:t>
      </w:r>
      <w:r w:rsidRPr="00F177CA">
        <w:rPr>
          <w:rFonts w:cs="Helvetica Neue" w:hint="eastAsia"/>
          <w:kern w:val="0"/>
          <w:sz w:val="24"/>
          <w:szCs w:val="24"/>
        </w:rPr>
        <w:t>.</w:t>
      </w:r>
      <w:r w:rsidRPr="00F177CA">
        <w:rPr>
          <w:rFonts w:cs="Helvetica Neue"/>
          <w:kern w:val="0"/>
          <w:sz w:val="24"/>
          <w:szCs w:val="24"/>
        </w:rPr>
        <w:t xml:space="preserve"> Integrative Analysis of NSCLC Identifies LINC01234 as an Oncogenic lncRNA that Interacts with HNRNPA2B1 and Regulates miR-106b Biogenesis. Mol Ther. 2020, 28(6): 1479-1493.</w:t>
      </w:r>
      <w:r w:rsidR="00CA6CBF" w:rsidRPr="00F177CA">
        <w:rPr>
          <w:rFonts w:cs="Helvetica Neue"/>
          <w:kern w:val="0"/>
          <w:sz w:val="24"/>
          <w:szCs w:val="24"/>
        </w:rPr>
        <w:t xml:space="preserve"> </w:t>
      </w:r>
    </w:p>
    <w:p w14:paraId="09CEDF4A" w14:textId="3E84A121" w:rsidR="00CF71F1" w:rsidRPr="00F177CA" w:rsidRDefault="00CF71F1" w:rsidP="00CF71F1">
      <w:pPr>
        <w:pStyle w:val="a3"/>
        <w:numPr>
          <w:ilvl w:val="0"/>
          <w:numId w:val="7"/>
        </w:numPr>
        <w:spacing w:line="360" w:lineRule="auto"/>
        <w:ind w:firstLineChars="0"/>
        <w:rPr>
          <w:sz w:val="24"/>
          <w:szCs w:val="24"/>
        </w:rPr>
      </w:pPr>
      <w:r w:rsidRPr="00F177CA">
        <w:rPr>
          <w:kern w:val="0"/>
          <w:sz w:val="24"/>
          <w:szCs w:val="24"/>
        </w:rPr>
        <w:t>Hua Shen, Gao-Chan Wang, Xiang Li</w:t>
      </w:r>
      <w:r w:rsidRPr="00F177CA">
        <w:rPr>
          <w:rFonts w:hint="eastAsia"/>
          <w:kern w:val="0"/>
          <w:sz w:val="24"/>
          <w:szCs w:val="24"/>
        </w:rPr>
        <w:t>，</w:t>
      </w:r>
      <w:r w:rsidRPr="00F177CA">
        <w:rPr>
          <w:kern w:val="0"/>
          <w:sz w:val="24"/>
          <w:szCs w:val="24"/>
        </w:rPr>
        <w:t>Xin Ge, Meng Wang, Zhu-Mei Shi, Vikas Bhardwaj, Zi-Xuan Wang, Ralph G Zinner, Stephen C Peiper, Andrew E Aplin , Bing-Hua Jiang , Jun He. S6K1 blockade overcomes acquired resistance to EGFR-TKIs in non-small cell lung cancer. Oncogene. 2020 12;39 (49), 7181-7195</w:t>
      </w:r>
    </w:p>
    <w:p w14:paraId="0AC2B3C5" w14:textId="3949B1E0" w:rsidR="00CF71F1" w:rsidRPr="00F177CA" w:rsidRDefault="00CF71F1" w:rsidP="00CF71F1">
      <w:pPr>
        <w:pStyle w:val="a3"/>
        <w:numPr>
          <w:ilvl w:val="0"/>
          <w:numId w:val="7"/>
        </w:numPr>
        <w:spacing w:line="360" w:lineRule="auto"/>
        <w:ind w:firstLineChars="0"/>
        <w:rPr>
          <w:sz w:val="24"/>
          <w:szCs w:val="24"/>
        </w:rPr>
      </w:pPr>
      <w:r w:rsidRPr="00F177CA">
        <w:rPr>
          <w:sz w:val="24"/>
          <w:szCs w:val="24"/>
        </w:rPr>
        <w:t xml:space="preserve">Shu Z, Li Z, Huang H, Chen Y, Fan J, Yu L, Wu Z, Tian L, Qi Q, Peng S, Wei C, Xie Z, Li X, Feng Q, Sheng H, Li G, Wei D, Shan C, Chen G. Cell cycle-dependent phosphorylation of RRM1 ensures efficient DNA replication and regulates cancer vulnerability to ATR inhibition. Oncogene.2020 </w:t>
      </w:r>
      <w:r w:rsidR="00F177CA" w:rsidRPr="00F177CA">
        <w:rPr>
          <w:sz w:val="24"/>
          <w:szCs w:val="24"/>
        </w:rPr>
        <w:t>08</w:t>
      </w:r>
      <w:r w:rsidRPr="00F177CA">
        <w:rPr>
          <w:sz w:val="24"/>
          <w:szCs w:val="24"/>
        </w:rPr>
        <w:t>;39(35):5721-5733.</w:t>
      </w:r>
    </w:p>
    <w:p w14:paraId="4D2D496E" w14:textId="77777777" w:rsidR="002278DB" w:rsidRPr="00F177CA" w:rsidRDefault="002278DB" w:rsidP="002278DB">
      <w:pPr>
        <w:pStyle w:val="a3"/>
        <w:numPr>
          <w:ilvl w:val="0"/>
          <w:numId w:val="7"/>
        </w:numPr>
        <w:spacing w:line="360" w:lineRule="auto"/>
        <w:ind w:firstLineChars="0"/>
        <w:rPr>
          <w:kern w:val="0"/>
          <w:sz w:val="24"/>
          <w:szCs w:val="24"/>
        </w:rPr>
      </w:pPr>
      <w:r w:rsidRPr="00F177CA">
        <w:rPr>
          <w:kern w:val="0"/>
          <w:sz w:val="24"/>
          <w:szCs w:val="24"/>
        </w:rPr>
        <w:lastRenderedPageBreak/>
        <w:t xml:space="preserve">Shi ZM, Wang L, Shen H, Jiang CF, Ge X, Li DM, Wen YY, Sun HR, Pan MH, Li W, Shu YQ, Liu LZ, Peiper SC, He J, Jiang BH. </w:t>
      </w:r>
      <w:hyperlink r:id="rId5" w:history="1">
        <w:r w:rsidRPr="00F177CA">
          <w:rPr>
            <w:kern w:val="0"/>
            <w:sz w:val="24"/>
            <w:szCs w:val="24"/>
          </w:rPr>
          <w:t>Downregulation of miR-218 contributes to epithelial-mesenchymal transition and tumor metastasis inlung cancer by targeting Slug/ZEB2 signaling.</w:t>
        </w:r>
      </w:hyperlink>
      <w:r w:rsidRPr="00F177CA">
        <w:rPr>
          <w:kern w:val="0"/>
          <w:sz w:val="24"/>
          <w:szCs w:val="24"/>
        </w:rPr>
        <w:t xml:space="preserve"> Oncogene. 2017 May 4;36(18):2577-2588. </w:t>
      </w:r>
    </w:p>
    <w:p w14:paraId="63A786DA" w14:textId="5B39A661" w:rsidR="00B83237" w:rsidRPr="00345668" w:rsidRDefault="00B83237" w:rsidP="00133C95">
      <w:pPr>
        <w:spacing w:line="360" w:lineRule="auto"/>
        <w:ind w:firstLine="314"/>
        <w:rPr>
          <w:rFonts w:ascii="Times New Roman" w:hAnsi="Times New Roman" w:cs="Times New Roman"/>
          <w:szCs w:val="21"/>
        </w:rPr>
      </w:pPr>
    </w:p>
    <w:sectPr w:rsidR="00B83237" w:rsidRPr="003456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Neue">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9C2"/>
    <w:multiLevelType w:val="hybridMultilevel"/>
    <w:tmpl w:val="4468A1C6"/>
    <w:lvl w:ilvl="0" w:tplc="0409000F">
      <w:start w:val="1"/>
      <w:numFmt w:val="decimal"/>
      <w:lvlText w:val="%1."/>
      <w:lvlJc w:val="left"/>
      <w:pPr>
        <w:ind w:left="537" w:hanging="420"/>
      </w:pPr>
    </w:lvl>
    <w:lvl w:ilvl="1" w:tplc="04090019" w:tentative="1">
      <w:start w:val="1"/>
      <w:numFmt w:val="lowerLetter"/>
      <w:lvlText w:val="%2)"/>
      <w:lvlJc w:val="left"/>
      <w:pPr>
        <w:ind w:left="957" w:hanging="420"/>
      </w:pPr>
    </w:lvl>
    <w:lvl w:ilvl="2" w:tplc="0409001B" w:tentative="1">
      <w:start w:val="1"/>
      <w:numFmt w:val="lowerRoman"/>
      <w:lvlText w:val="%3."/>
      <w:lvlJc w:val="right"/>
      <w:pPr>
        <w:ind w:left="1377" w:hanging="420"/>
      </w:pPr>
    </w:lvl>
    <w:lvl w:ilvl="3" w:tplc="0409000F" w:tentative="1">
      <w:start w:val="1"/>
      <w:numFmt w:val="decimal"/>
      <w:lvlText w:val="%4."/>
      <w:lvlJc w:val="left"/>
      <w:pPr>
        <w:ind w:left="1797" w:hanging="420"/>
      </w:pPr>
    </w:lvl>
    <w:lvl w:ilvl="4" w:tplc="04090019" w:tentative="1">
      <w:start w:val="1"/>
      <w:numFmt w:val="lowerLetter"/>
      <w:lvlText w:val="%5)"/>
      <w:lvlJc w:val="left"/>
      <w:pPr>
        <w:ind w:left="2217" w:hanging="420"/>
      </w:pPr>
    </w:lvl>
    <w:lvl w:ilvl="5" w:tplc="0409001B" w:tentative="1">
      <w:start w:val="1"/>
      <w:numFmt w:val="lowerRoman"/>
      <w:lvlText w:val="%6."/>
      <w:lvlJc w:val="right"/>
      <w:pPr>
        <w:ind w:left="2637" w:hanging="420"/>
      </w:pPr>
    </w:lvl>
    <w:lvl w:ilvl="6" w:tplc="0409000F" w:tentative="1">
      <w:start w:val="1"/>
      <w:numFmt w:val="decimal"/>
      <w:lvlText w:val="%7."/>
      <w:lvlJc w:val="left"/>
      <w:pPr>
        <w:ind w:left="3057" w:hanging="420"/>
      </w:pPr>
    </w:lvl>
    <w:lvl w:ilvl="7" w:tplc="04090019" w:tentative="1">
      <w:start w:val="1"/>
      <w:numFmt w:val="lowerLetter"/>
      <w:lvlText w:val="%8)"/>
      <w:lvlJc w:val="left"/>
      <w:pPr>
        <w:ind w:left="3477" w:hanging="420"/>
      </w:pPr>
    </w:lvl>
    <w:lvl w:ilvl="8" w:tplc="0409001B" w:tentative="1">
      <w:start w:val="1"/>
      <w:numFmt w:val="lowerRoman"/>
      <w:lvlText w:val="%9."/>
      <w:lvlJc w:val="right"/>
      <w:pPr>
        <w:ind w:left="3897" w:hanging="420"/>
      </w:pPr>
    </w:lvl>
  </w:abstractNum>
  <w:abstractNum w:abstractNumId="1" w15:restartNumberingAfterBreak="0">
    <w:nsid w:val="304A4D26"/>
    <w:multiLevelType w:val="hybridMultilevel"/>
    <w:tmpl w:val="A9DE5630"/>
    <w:lvl w:ilvl="0" w:tplc="37262C74">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33A75942"/>
    <w:multiLevelType w:val="multilevel"/>
    <w:tmpl w:val="33A759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8461208"/>
    <w:multiLevelType w:val="hybridMultilevel"/>
    <w:tmpl w:val="EC2A8E92"/>
    <w:lvl w:ilvl="0" w:tplc="0409000F">
      <w:start w:val="1"/>
      <w:numFmt w:val="decimal"/>
      <w:lvlText w:val="%1."/>
      <w:lvlJc w:val="left"/>
      <w:pPr>
        <w:ind w:left="703"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17777B"/>
    <w:multiLevelType w:val="multilevel"/>
    <w:tmpl w:val="3917777B"/>
    <w:lvl w:ilvl="0">
      <w:start w:val="1"/>
      <w:numFmt w:val="decimal"/>
      <w:lvlText w:val="%1."/>
      <w:lvlJc w:val="left"/>
      <w:pPr>
        <w:ind w:left="480" w:hanging="480"/>
      </w:pPr>
      <w:rPr>
        <w:b w:val="0"/>
        <w:bCs w:val="0"/>
        <w:color w:val="000000" w:themeColor="text1"/>
        <w:sz w:val="21"/>
        <w:szCs w:val="21"/>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69922BC"/>
    <w:multiLevelType w:val="hybridMultilevel"/>
    <w:tmpl w:val="6BF041D4"/>
    <w:lvl w:ilvl="0" w:tplc="37262C74">
      <w:start w:val="1"/>
      <w:numFmt w:val="decimal"/>
      <w:lvlText w:val="%1."/>
      <w:lvlJc w:val="left"/>
      <w:pPr>
        <w:ind w:left="4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474BEC"/>
    <w:multiLevelType w:val="multilevel"/>
    <w:tmpl w:val="E2380868"/>
    <w:lvl w:ilvl="0">
      <w:start w:val="1"/>
      <w:numFmt w:val="decimal"/>
      <w:lvlText w:val="%1."/>
      <w:lvlJc w:val="left"/>
      <w:pPr>
        <w:ind w:left="420" w:hanging="420"/>
      </w:pPr>
      <w:rPr>
        <w:rFonts w:ascii="Times New Roman" w:hAnsi="Times New Roman" w:cs="Times New Roman" w:hint="default"/>
        <w:b/>
        <w:color w:val="auto"/>
        <w:sz w:val="24"/>
        <w:szCs w:val="24"/>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41513434">
    <w:abstractNumId w:val="2"/>
  </w:num>
  <w:num w:numId="2" w16cid:durableId="1754929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9073877">
    <w:abstractNumId w:val="4"/>
  </w:num>
  <w:num w:numId="4" w16cid:durableId="519050979">
    <w:abstractNumId w:val="3"/>
  </w:num>
  <w:num w:numId="5" w16cid:durableId="1365784499">
    <w:abstractNumId w:val="0"/>
  </w:num>
  <w:num w:numId="6" w16cid:durableId="7219676">
    <w:abstractNumId w:val="1"/>
  </w:num>
  <w:num w:numId="7" w16cid:durableId="2003005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C2"/>
    <w:rsid w:val="00086489"/>
    <w:rsid w:val="000B4329"/>
    <w:rsid w:val="000B7F43"/>
    <w:rsid w:val="00133C95"/>
    <w:rsid w:val="002278DB"/>
    <w:rsid w:val="0023319B"/>
    <w:rsid w:val="00345668"/>
    <w:rsid w:val="00416A77"/>
    <w:rsid w:val="0053347D"/>
    <w:rsid w:val="005837CB"/>
    <w:rsid w:val="005A655F"/>
    <w:rsid w:val="005C3423"/>
    <w:rsid w:val="005F47A0"/>
    <w:rsid w:val="00610B26"/>
    <w:rsid w:val="006F49D1"/>
    <w:rsid w:val="00720CC2"/>
    <w:rsid w:val="00721FBE"/>
    <w:rsid w:val="007A1F91"/>
    <w:rsid w:val="008652A8"/>
    <w:rsid w:val="008739CF"/>
    <w:rsid w:val="008E420B"/>
    <w:rsid w:val="00A94B2B"/>
    <w:rsid w:val="00B83237"/>
    <w:rsid w:val="00BA0124"/>
    <w:rsid w:val="00BD0D20"/>
    <w:rsid w:val="00BF6F78"/>
    <w:rsid w:val="00C45E1D"/>
    <w:rsid w:val="00CA6CBF"/>
    <w:rsid w:val="00CD713D"/>
    <w:rsid w:val="00CF71F1"/>
    <w:rsid w:val="00D73644"/>
    <w:rsid w:val="00E46509"/>
    <w:rsid w:val="00EA7B84"/>
    <w:rsid w:val="00F07D3B"/>
    <w:rsid w:val="00F177CA"/>
    <w:rsid w:val="00FA3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FFFD"/>
  <w15:chartTrackingRefBased/>
  <w15:docId w15:val="{F2EB21BC-3E3D-4986-A1C0-A2B3D484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qFormat/>
    <w:rsid w:val="006F49D1"/>
    <w:rPr>
      <w:rFonts w:ascii="Cambria" w:hAnsi="Cambria" w:cs="Calibri"/>
      <w:sz w:val="24"/>
    </w:rPr>
  </w:style>
  <w:style w:type="character" w:customStyle="1" w:styleId="EndNoteBibliographyChar">
    <w:name w:val="EndNote Bibliography Char"/>
    <w:basedOn w:val="a0"/>
    <w:link w:val="EndNoteBibliography"/>
    <w:rsid w:val="006F49D1"/>
    <w:rPr>
      <w:rFonts w:ascii="Cambria" w:hAnsi="Cambria" w:cs="Calibri"/>
      <w:sz w:val="24"/>
    </w:rPr>
  </w:style>
  <w:style w:type="paragraph" w:styleId="a3">
    <w:name w:val="List Paragraph"/>
    <w:basedOn w:val="a"/>
    <w:uiPriority w:val="34"/>
    <w:qFormat/>
    <w:rsid w:val="00D73644"/>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2819239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Xueting</dc:creator>
  <cp:keywords/>
  <dc:description/>
  <cp:lastModifiedBy>熊 枫</cp:lastModifiedBy>
  <cp:revision>2</cp:revision>
  <dcterms:created xsi:type="dcterms:W3CDTF">2024-02-19T10:02:00Z</dcterms:created>
  <dcterms:modified xsi:type="dcterms:W3CDTF">2024-02-19T10:02:00Z</dcterms:modified>
</cp:coreProperties>
</file>