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D3" w:rsidRDefault="00BA6A96" w:rsidP="00752BEB">
      <w:pPr>
        <w:spacing w:before="101" w:line="227" w:lineRule="auto"/>
        <w:rPr>
          <w:rFonts w:ascii="黑体" w:eastAsia="黑体" w:hAnsi="黑体" w:cs="黑体"/>
          <w:sz w:val="31"/>
          <w:szCs w:val="31"/>
          <w:lang w:eastAsia="zh-CN"/>
        </w:rPr>
      </w:pPr>
      <w:r>
        <w:rPr>
          <w:rFonts w:ascii="黑体" w:eastAsia="黑体" w:hAnsi="黑体" w:cs="黑体"/>
          <w:spacing w:val="-4"/>
          <w:sz w:val="31"/>
          <w:szCs w:val="31"/>
          <w:lang w:eastAsia="zh-CN"/>
        </w:rPr>
        <w:t>附件</w:t>
      </w:r>
      <w:r>
        <w:rPr>
          <w:rFonts w:ascii="黑体" w:eastAsia="黑体" w:hAnsi="黑体" w:cs="黑体"/>
          <w:spacing w:val="-58"/>
          <w:sz w:val="31"/>
          <w:szCs w:val="31"/>
          <w:lang w:eastAsia="zh-CN"/>
        </w:rPr>
        <w:t xml:space="preserve"> </w:t>
      </w:r>
      <w:r>
        <w:rPr>
          <w:rFonts w:ascii="黑体" w:eastAsia="黑体" w:hAnsi="黑体" w:cs="黑体"/>
          <w:spacing w:val="-4"/>
          <w:sz w:val="31"/>
          <w:szCs w:val="31"/>
          <w:lang w:eastAsia="zh-CN"/>
        </w:rPr>
        <w:t>7</w:t>
      </w:r>
    </w:p>
    <w:p w:rsidR="00383CD3" w:rsidRDefault="00383CD3">
      <w:pPr>
        <w:spacing w:line="455" w:lineRule="auto"/>
        <w:rPr>
          <w:lang w:eastAsia="zh-CN"/>
        </w:rPr>
      </w:pPr>
    </w:p>
    <w:p w:rsidR="00383CD3" w:rsidRDefault="00BA6A96">
      <w:pPr>
        <w:spacing w:before="184" w:line="186" w:lineRule="auto"/>
        <w:ind w:left="1237"/>
        <w:rPr>
          <w:rFonts w:ascii="微软雅黑" w:eastAsia="微软雅黑" w:hAnsi="微软雅黑" w:cs="微软雅黑"/>
          <w:sz w:val="43"/>
          <w:szCs w:val="43"/>
          <w:lang w:eastAsia="zh-CN"/>
        </w:rPr>
      </w:pPr>
      <w:r>
        <w:rPr>
          <w:rFonts w:ascii="微软雅黑" w:eastAsia="微软雅黑" w:hAnsi="微软雅黑" w:cs="微软雅黑"/>
          <w:spacing w:val="9"/>
          <w:sz w:val="43"/>
          <w:szCs w:val="43"/>
          <w:lang w:eastAsia="zh-CN"/>
        </w:rPr>
        <w:t>江苏省预防医学会科学技术奖项目</w:t>
      </w:r>
    </w:p>
    <w:p w:rsidR="00383CD3" w:rsidRDefault="00BA6A96">
      <w:pPr>
        <w:spacing w:before="93" w:line="216" w:lineRule="auto"/>
        <w:ind w:left="3664"/>
        <w:outlineLvl w:val="0"/>
        <w:rPr>
          <w:rFonts w:ascii="微软雅黑" w:eastAsia="微软雅黑" w:hAnsi="微软雅黑" w:cs="微软雅黑"/>
          <w:sz w:val="43"/>
          <w:szCs w:val="43"/>
        </w:rPr>
      </w:pPr>
      <w:proofErr w:type="spellStart"/>
      <w:r>
        <w:rPr>
          <w:rFonts w:ascii="微软雅黑" w:eastAsia="微软雅黑" w:hAnsi="微软雅黑" w:cs="微软雅黑"/>
          <w:spacing w:val="7"/>
          <w:sz w:val="43"/>
          <w:szCs w:val="43"/>
        </w:rPr>
        <w:t>公示内容</w:t>
      </w:r>
      <w:proofErr w:type="spellEnd"/>
    </w:p>
    <w:p w:rsidR="00383CD3" w:rsidRDefault="00383CD3">
      <w:pPr>
        <w:spacing w:line="293" w:lineRule="auto"/>
      </w:pPr>
    </w:p>
    <w:p w:rsidR="00383CD3" w:rsidRDefault="00383CD3">
      <w:pPr>
        <w:spacing w:line="293" w:lineRule="auto"/>
      </w:pPr>
    </w:p>
    <w:p w:rsidR="00383CD3" w:rsidRDefault="00BA6A96">
      <w:pPr>
        <w:pStyle w:val="a3"/>
        <w:numPr>
          <w:ilvl w:val="0"/>
          <w:numId w:val="1"/>
        </w:numPr>
        <w:spacing w:before="101" w:line="222" w:lineRule="auto"/>
        <w:rPr>
          <w:spacing w:val="-5"/>
          <w:sz w:val="31"/>
          <w:szCs w:val="31"/>
        </w:rPr>
      </w:pPr>
      <w:proofErr w:type="spellStart"/>
      <w:r>
        <w:rPr>
          <w:spacing w:val="-5"/>
          <w:sz w:val="31"/>
          <w:szCs w:val="31"/>
        </w:rPr>
        <w:t>项目名称</w:t>
      </w:r>
      <w:proofErr w:type="spellEnd"/>
      <w:r>
        <w:rPr>
          <w:spacing w:val="-5"/>
          <w:sz w:val="31"/>
          <w:szCs w:val="31"/>
        </w:rPr>
        <w:t>：</w:t>
      </w:r>
    </w:p>
    <w:p w:rsidR="00383CD3" w:rsidRDefault="00BA6A96">
      <w:pPr>
        <w:pStyle w:val="a3"/>
        <w:spacing w:before="101" w:line="222" w:lineRule="auto"/>
        <w:ind w:firstLineChars="200" w:firstLine="600"/>
        <w:rPr>
          <w:spacing w:val="-5"/>
          <w:sz w:val="31"/>
          <w:szCs w:val="31"/>
          <w:lang w:eastAsia="zh-CN"/>
        </w:rPr>
      </w:pPr>
      <w:r>
        <w:rPr>
          <w:rFonts w:hint="eastAsia"/>
          <w:spacing w:val="-5"/>
          <w:sz w:val="31"/>
          <w:szCs w:val="31"/>
          <w:lang w:eastAsia="zh-CN"/>
        </w:rPr>
        <w:t>基于宫腔镜数据的子宫内膜癌诊断预测模型构建及临床应用</w:t>
      </w:r>
    </w:p>
    <w:p w:rsidR="00383CD3" w:rsidRDefault="00BA6A96">
      <w:pPr>
        <w:pStyle w:val="a3"/>
        <w:spacing w:before="188" w:line="222" w:lineRule="auto"/>
        <w:rPr>
          <w:spacing w:val="7"/>
          <w:sz w:val="31"/>
          <w:szCs w:val="31"/>
          <w:lang w:eastAsia="zh-CN"/>
        </w:rPr>
      </w:pPr>
      <w:r>
        <w:rPr>
          <w:spacing w:val="7"/>
          <w:sz w:val="31"/>
          <w:szCs w:val="31"/>
          <w:lang w:eastAsia="zh-CN"/>
        </w:rPr>
        <w:t>二、推荐单位（专家）及推荐意见：</w:t>
      </w:r>
    </w:p>
    <w:p w:rsidR="00383CD3" w:rsidRDefault="00BA6A96">
      <w:pPr>
        <w:pStyle w:val="a3"/>
        <w:spacing w:before="188" w:line="222" w:lineRule="auto"/>
        <w:ind w:left="784"/>
        <w:rPr>
          <w:spacing w:val="7"/>
          <w:sz w:val="31"/>
          <w:szCs w:val="31"/>
          <w:lang w:eastAsia="zh-CN"/>
        </w:rPr>
      </w:pPr>
      <w:r>
        <w:rPr>
          <w:rFonts w:hint="eastAsia"/>
          <w:spacing w:val="7"/>
          <w:sz w:val="31"/>
          <w:szCs w:val="31"/>
          <w:lang w:eastAsia="zh-CN"/>
        </w:rPr>
        <w:t>推荐单位：南京医科大学第二附属医院；</w:t>
      </w:r>
    </w:p>
    <w:p w:rsidR="00383CD3" w:rsidRDefault="00BA6A96">
      <w:pPr>
        <w:pStyle w:val="a3"/>
        <w:spacing w:before="188" w:line="222" w:lineRule="auto"/>
        <w:ind w:left="784"/>
        <w:rPr>
          <w:spacing w:val="7"/>
          <w:sz w:val="31"/>
          <w:szCs w:val="31"/>
          <w:lang w:eastAsia="zh-CN"/>
        </w:rPr>
      </w:pPr>
      <w:r>
        <w:rPr>
          <w:rFonts w:hint="eastAsia"/>
          <w:spacing w:val="7"/>
          <w:sz w:val="31"/>
          <w:szCs w:val="31"/>
          <w:lang w:eastAsia="zh-CN"/>
        </w:rPr>
        <w:t>推荐意见：</w:t>
      </w:r>
    </w:p>
    <w:p w:rsidR="00383CD3" w:rsidRDefault="00BA6A96">
      <w:pPr>
        <w:pStyle w:val="a3"/>
        <w:spacing w:before="186" w:line="360" w:lineRule="auto"/>
        <w:ind w:right="136" w:firstLineChars="200" w:firstLine="508"/>
        <w:rPr>
          <w:spacing w:val="7"/>
          <w:sz w:val="24"/>
          <w:szCs w:val="24"/>
          <w:lang w:eastAsia="zh-CN"/>
        </w:rPr>
      </w:pPr>
      <w:r>
        <w:rPr>
          <w:spacing w:val="7"/>
          <w:sz w:val="24"/>
          <w:szCs w:val="24"/>
          <w:lang w:eastAsia="zh-CN"/>
        </w:rPr>
        <w:t>子宫内膜癌是妇科常见恶性肿瘤之一，最近几十年其发病率全球逐年上升。</w:t>
      </w:r>
      <w:r>
        <w:rPr>
          <w:rFonts w:hint="eastAsia"/>
          <w:spacing w:val="7"/>
          <w:sz w:val="24"/>
          <w:szCs w:val="24"/>
          <w:lang w:eastAsia="zh-CN"/>
        </w:rPr>
        <w:t>现阶段</w:t>
      </w:r>
      <w:r>
        <w:rPr>
          <w:spacing w:val="7"/>
          <w:sz w:val="24"/>
          <w:szCs w:val="24"/>
          <w:lang w:eastAsia="zh-CN"/>
        </w:rPr>
        <w:t>宫腔镜检查逐渐</w:t>
      </w:r>
      <w:r>
        <w:rPr>
          <w:rFonts w:hint="eastAsia"/>
          <w:spacing w:val="7"/>
          <w:sz w:val="24"/>
          <w:szCs w:val="24"/>
          <w:lang w:eastAsia="zh-CN"/>
        </w:rPr>
        <w:t>成为早期诊断</w:t>
      </w:r>
      <w:r>
        <w:rPr>
          <w:spacing w:val="7"/>
          <w:sz w:val="24"/>
          <w:szCs w:val="24"/>
          <w:lang w:eastAsia="zh-CN"/>
        </w:rPr>
        <w:t>子宫内膜癌的</w:t>
      </w:r>
      <w:r>
        <w:rPr>
          <w:rFonts w:hint="eastAsia"/>
          <w:spacing w:val="7"/>
          <w:sz w:val="24"/>
          <w:szCs w:val="24"/>
          <w:lang w:eastAsia="zh-CN"/>
        </w:rPr>
        <w:t>主要手段</w:t>
      </w:r>
      <w:r>
        <w:rPr>
          <w:spacing w:val="7"/>
          <w:sz w:val="24"/>
          <w:szCs w:val="24"/>
          <w:lang w:eastAsia="zh-CN"/>
        </w:rPr>
        <w:t>，宫腔镜下活检已成为诊断子宫内膜癌的金标准。</w:t>
      </w:r>
      <w:r>
        <w:rPr>
          <w:rFonts w:hint="eastAsia"/>
          <w:spacing w:val="7"/>
          <w:sz w:val="24"/>
          <w:szCs w:val="24"/>
          <w:lang w:eastAsia="zh-CN"/>
        </w:rPr>
        <w:t>但</w:t>
      </w:r>
      <w:r>
        <w:rPr>
          <w:spacing w:val="7"/>
          <w:sz w:val="24"/>
          <w:szCs w:val="24"/>
          <w:lang w:eastAsia="zh-CN"/>
        </w:rPr>
        <w:t>子宫内膜癌宫腔</w:t>
      </w:r>
      <w:r>
        <w:rPr>
          <w:rFonts w:hint="eastAsia"/>
          <w:spacing w:val="7"/>
          <w:sz w:val="24"/>
          <w:szCs w:val="24"/>
          <w:lang w:eastAsia="zh-CN"/>
        </w:rPr>
        <w:t>镜</w:t>
      </w:r>
      <w:r>
        <w:rPr>
          <w:spacing w:val="7"/>
          <w:sz w:val="24"/>
          <w:szCs w:val="24"/>
          <w:lang w:eastAsia="zh-CN"/>
        </w:rPr>
        <w:t>下形态表现异质性，各个形态学特点散乱，各形态学特征的判断具有一定的主观性，</w:t>
      </w:r>
      <w:r>
        <w:rPr>
          <w:rFonts w:hint="eastAsia"/>
          <w:spacing w:val="7"/>
          <w:sz w:val="24"/>
          <w:szCs w:val="24"/>
          <w:lang w:eastAsia="zh-CN"/>
        </w:rPr>
        <w:t>缺乏一定的客观标准，</w:t>
      </w:r>
      <w:r>
        <w:rPr>
          <w:spacing w:val="7"/>
          <w:sz w:val="24"/>
          <w:szCs w:val="24"/>
          <w:lang w:eastAsia="zh-CN"/>
        </w:rPr>
        <w:t>常导致经验性诊断，各个医师间诊断结果有一定的异质性。</w:t>
      </w:r>
      <w:r>
        <w:rPr>
          <w:rFonts w:hint="eastAsia"/>
          <w:spacing w:val="7"/>
          <w:sz w:val="24"/>
          <w:szCs w:val="24"/>
          <w:lang w:eastAsia="zh-CN"/>
        </w:rPr>
        <w:t>本项目通过建立以形态学为基础的预测模型为宫腔镜诊断子宫内膜</w:t>
      </w:r>
      <w:proofErr w:type="gramStart"/>
      <w:r>
        <w:rPr>
          <w:rFonts w:hint="eastAsia"/>
          <w:spacing w:val="7"/>
          <w:sz w:val="24"/>
          <w:szCs w:val="24"/>
          <w:lang w:eastAsia="zh-CN"/>
        </w:rPr>
        <w:t>癌提供</w:t>
      </w:r>
      <w:proofErr w:type="gramEnd"/>
      <w:r>
        <w:rPr>
          <w:rFonts w:hint="eastAsia"/>
          <w:spacing w:val="7"/>
          <w:sz w:val="24"/>
          <w:szCs w:val="24"/>
          <w:lang w:eastAsia="zh-CN"/>
        </w:rPr>
        <w:t>了新的较为客观的诊断标准。为子宫内膜癌患者的早期诊断、精准诊疗提供了新的方法。</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团队通过会议交流、期刊论文等方法汇报了这一项目进展，并在多家医院开展试用，提高了子宫内膜癌早期诊断率，为患者家庭节约了医疗成本，取得了良好的社会效益；该模型帮助合作医院提高年轻医生宫腔镜诊治水平，促进年轻医生成长，协助妇产科医生更精确的定位活检可疑子宫内膜癌病灶，减少漏诊、误诊率，为子宫内膜癌的三级预防做出作用，提供了子宫内膜癌的宫腔镜诊疗新技术，推动宫腔镜诊疗，具有重要的社会效益与医学临床价值。</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因此，同意推荐江苏省预防医学会科学技术奖。</w:t>
      </w:r>
    </w:p>
    <w:p w:rsidR="00383CD3" w:rsidRDefault="00BA6A96">
      <w:pPr>
        <w:pStyle w:val="a3"/>
        <w:spacing w:before="186" w:line="279" w:lineRule="auto"/>
        <w:ind w:right="138"/>
        <w:rPr>
          <w:spacing w:val="-43"/>
          <w:sz w:val="31"/>
          <w:szCs w:val="31"/>
          <w:lang w:eastAsia="zh-CN"/>
        </w:rPr>
      </w:pPr>
      <w:r>
        <w:rPr>
          <w:spacing w:val="7"/>
          <w:sz w:val="31"/>
          <w:szCs w:val="31"/>
          <w:lang w:eastAsia="zh-CN"/>
        </w:rPr>
        <w:lastRenderedPageBreak/>
        <w:t>三、项目简介(项目简要介绍，技术路线，创新点及项目</w:t>
      </w:r>
      <w:r>
        <w:rPr>
          <w:rFonts w:hint="eastAsia"/>
          <w:spacing w:val="7"/>
          <w:sz w:val="31"/>
          <w:szCs w:val="31"/>
          <w:lang w:eastAsia="zh-CN"/>
        </w:rPr>
        <w:t>产出</w:t>
      </w:r>
      <w:r>
        <w:rPr>
          <w:spacing w:val="-43"/>
          <w:sz w:val="31"/>
          <w:szCs w:val="31"/>
          <w:lang w:eastAsia="zh-CN"/>
        </w:rPr>
        <w:t>）</w:t>
      </w:r>
    </w:p>
    <w:p w:rsidR="00383CD3" w:rsidRDefault="00BA6A96">
      <w:pPr>
        <w:pStyle w:val="a3"/>
        <w:spacing w:before="186" w:line="360" w:lineRule="auto"/>
        <w:ind w:right="136"/>
        <w:rPr>
          <w:b/>
          <w:bCs/>
          <w:spacing w:val="7"/>
          <w:sz w:val="24"/>
          <w:szCs w:val="24"/>
          <w:lang w:eastAsia="zh-CN"/>
        </w:rPr>
      </w:pPr>
      <w:r>
        <w:rPr>
          <w:rFonts w:hint="eastAsia"/>
          <w:b/>
          <w:bCs/>
          <w:spacing w:val="7"/>
          <w:sz w:val="24"/>
          <w:szCs w:val="24"/>
          <w:lang w:eastAsia="zh-CN"/>
        </w:rPr>
        <w:t>1.项目简要介绍：</w:t>
      </w:r>
    </w:p>
    <w:p w:rsidR="00383CD3" w:rsidRDefault="00BA6A96">
      <w:pPr>
        <w:pStyle w:val="a3"/>
        <w:spacing w:before="186" w:line="360" w:lineRule="auto"/>
        <w:ind w:right="136" w:firstLineChars="200" w:firstLine="508"/>
        <w:rPr>
          <w:b/>
          <w:bCs/>
          <w:spacing w:val="7"/>
          <w:sz w:val="24"/>
          <w:szCs w:val="24"/>
          <w:lang w:eastAsia="zh-CN"/>
        </w:rPr>
      </w:pPr>
      <w:r>
        <w:rPr>
          <w:rFonts w:hint="eastAsia"/>
          <w:spacing w:val="7"/>
          <w:sz w:val="24"/>
          <w:szCs w:val="24"/>
          <w:lang w:eastAsia="zh-CN"/>
        </w:rPr>
        <w:t>本研究目的构建一个基于宫腔镜下子宫内膜形态特征的子宫内膜癌预测模型，以提高诊断的准确性和同质性。本研究共计收集381例宫腔镜检查患者的宫腔镜数据，构建子宫内膜癌预测模型，其中282例纳入训练集构建模型，99例纳入验证集验证模型。对所有子宫内膜活检前宫腔镜图像进行回顾性评估，对每个患者的子宫内膜形态学参数进行记录。使用卡方检验筛选对子宫内膜癌有价值的形态学变量，并纳入二元logistic回归分析。通过β系数为每个参数赋予分值，构建子宫内膜癌形态学预测模型，并设立子宫内膜癌评分区间，建立预测模型的列线图。另外收集99例患者宫腔镜图像用于预测模型的验证，并构建模型校正曲线。最终构建出的预测模型在训练集中的敏感度为96.7%，特异性为92.3%，阳性预测值为77.3%，阴性预测值为99.0%。在验证集中的曲线下面积为0.976，表明模型具有良好的预测能力。该预测模型对子宫内膜癌具有较高的敏感性和特异性，有助于临床医师提高诊断的准确性和同质性。将诊断预测模型应用于临床，进一步收集临床反馈数据，通过临床反馈数据持续校正模型。</w:t>
      </w:r>
    </w:p>
    <w:p w:rsidR="00383CD3" w:rsidRDefault="00BA6A96">
      <w:pPr>
        <w:pStyle w:val="a3"/>
        <w:spacing w:before="186" w:line="360" w:lineRule="auto"/>
        <w:ind w:right="136"/>
        <w:rPr>
          <w:rFonts w:ascii="宋体" w:eastAsia="宋体" w:hAnsi="宋体" w:cs="宋体"/>
          <w:b/>
          <w:bCs/>
          <w:spacing w:val="7"/>
          <w:sz w:val="24"/>
          <w:szCs w:val="24"/>
          <w:lang w:eastAsia="zh-CN"/>
        </w:rPr>
      </w:pPr>
      <w:r>
        <w:rPr>
          <w:noProof/>
          <w:sz w:val="24"/>
          <w:lang w:eastAsia="zh-CN"/>
        </w:rPr>
        <mc:AlternateContent>
          <mc:Choice Requires="wpg">
            <w:drawing>
              <wp:anchor distT="0" distB="0" distL="114300" distR="114300" simplePos="0" relativeHeight="251659264" behindDoc="0" locked="0" layoutInCell="1" allowOverlap="1">
                <wp:simplePos x="0" y="0"/>
                <wp:positionH relativeFrom="column">
                  <wp:posOffset>-287020</wp:posOffset>
                </wp:positionH>
                <wp:positionV relativeFrom="paragraph">
                  <wp:posOffset>347980</wp:posOffset>
                </wp:positionV>
                <wp:extent cx="5916930" cy="3675380"/>
                <wp:effectExtent l="6350" t="6350" r="20320" b="21590"/>
                <wp:wrapNone/>
                <wp:docPr id="1" name="组合 1"/>
                <wp:cNvGraphicFramePr/>
                <a:graphic xmlns:a="http://schemas.openxmlformats.org/drawingml/2006/main">
                  <a:graphicData uri="http://schemas.microsoft.com/office/word/2010/wordprocessingGroup">
                    <wpg:wgp>
                      <wpg:cNvGrpSpPr/>
                      <wpg:grpSpPr>
                        <a:xfrm>
                          <a:off x="0" y="0"/>
                          <a:ext cx="5916930" cy="3675380"/>
                          <a:chOff x="5289" y="19626"/>
                          <a:chExt cx="10553" cy="7047"/>
                        </a:xfrm>
                      </wpg:grpSpPr>
                      <wps:wsp>
                        <wps:cNvPr id="177" name="圆角矩形 177"/>
                        <wps:cNvSpPr/>
                        <wps:spPr>
                          <a:xfrm>
                            <a:off x="5311" y="21770"/>
                            <a:ext cx="3102" cy="694"/>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rPr>
                                  <w:lang w:eastAsia="zh-CN"/>
                                </w:rPr>
                              </w:pPr>
                              <w:r>
                                <w:rPr>
                                  <w:rFonts w:ascii="宋体" w:hAnsi="宋体" w:hint="eastAsia"/>
                                  <w:sz w:val="20"/>
                                  <w:szCs w:val="20"/>
                                  <w:lang w:eastAsia="zh-CN"/>
                                </w:rPr>
                                <w:t>分析并记录子宫内膜形态学参数</w:t>
                              </w:r>
                            </w:p>
                          </w:txbxContent>
                        </wps:txbx>
                        <wps:bodyPr anchor="ctr" anchorCtr="0" upright="1"/>
                      </wps:wsp>
                      <wps:wsp>
                        <wps:cNvPr id="179" name="圆角矩形 179"/>
                        <wps:cNvSpPr/>
                        <wps:spPr>
                          <a:xfrm>
                            <a:off x="5311" y="22818"/>
                            <a:ext cx="3090" cy="1160"/>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SPSS对统计数据描述性分析，二元logistic回归分析</w:t>
                              </w:r>
                            </w:p>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得出初步预测模型</w:t>
                              </w:r>
                            </w:p>
                          </w:txbxContent>
                        </wps:txbx>
                        <wps:bodyPr anchor="ctr" anchorCtr="0" upright="1"/>
                      </wps:wsp>
                      <wps:wsp>
                        <wps:cNvPr id="181" name="圆角矩形 181"/>
                        <wps:cNvSpPr/>
                        <wps:spPr>
                          <a:xfrm>
                            <a:off x="9077" y="24480"/>
                            <a:ext cx="2780" cy="779"/>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子宫内膜宫腔镜下形态学诊断模型</w:t>
                              </w:r>
                            </w:p>
                          </w:txbxContent>
                        </wps:txbx>
                        <wps:bodyPr anchor="ctr" anchorCtr="0" upright="1"/>
                      </wps:wsp>
                      <wps:wsp>
                        <wps:cNvPr id="182" name="圆角矩形 182"/>
                        <wps:cNvSpPr/>
                        <wps:spPr>
                          <a:xfrm>
                            <a:off x="12963" y="23109"/>
                            <a:ext cx="2787" cy="76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lang w:eastAsia="zh-CN"/>
                                </w:rPr>
                              </w:pPr>
                              <w:r>
                                <w:rPr>
                                  <w:rFonts w:ascii="宋体" w:hAnsi="宋体" w:hint="eastAsia"/>
                                  <w:sz w:val="20"/>
                                  <w:szCs w:val="20"/>
                                  <w:lang w:eastAsia="zh-CN"/>
                                </w:rPr>
                                <w:t>比较敏感性，特异性，阳性预测值及阴性预测值</w:t>
                              </w:r>
                            </w:p>
                          </w:txbxContent>
                        </wps:txbx>
                        <wps:bodyPr anchor="ctr" anchorCtr="0" upright="1"/>
                      </wps:wsp>
                      <wps:wsp>
                        <wps:cNvPr id="183" name="圆角矩形 183"/>
                        <wps:cNvSpPr/>
                        <wps:spPr>
                          <a:xfrm>
                            <a:off x="5289" y="20639"/>
                            <a:ext cx="3150" cy="777"/>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收集临床资料：宫腔镜图像及组织病理结果</w:t>
                              </w:r>
                            </w:p>
                          </w:txbxContent>
                        </wps:txbx>
                        <wps:bodyPr anchor="ctr" anchorCtr="0" upright="1"/>
                      </wps:wsp>
                      <wps:wsp>
                        <wps:cNvPr id="184" name="圆角矩形 184"/>
                        <wps:cNvSpPr/>
                        <wps:spPr>
                          <a:xfrm>
                            <a:off x="5445" y="19626"/>
                            <a:ext cx="2829"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收集建模组临床资料</w:t>
                              </w:r>
                              <w:proofErr w:type="spellEnd"/>
                            </w:p>
                          </w:txbxContent>
                        </wps:txbx>
                        <wps:bodyPr anchor="ctr" anchorCtr="0" upright="1"/>
                      </wps:wsp>
                      <wps:wsp>
                        <wps:cNvPr id="185" name="圆角矩形 185"/>
                        <wps:cNvSpPr/>
                        <wps:spPr>
                          <a:xfrm>
                            <a:off x="9023" y="19645"/>
                            <a:ext cx="2879"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收集验证组临床资料</w:t>
                              </w:r>
                              <w:proofErr w:type="spellEnd"/>
                            </w:p>
                          </w:txbxContent>
                        </wps:txbx>
                        <wps:bodyPr anchor="ctr" anchorCtr="0" upright="1"/>
                      </wps:wsp>
                      <wps:wsp>
                        <wps:cNvPr id="188" name="直接箭头连接符 188"/>
                        <wps:cNvCnPr>
                          <a:stCxn id="183" idx="3"/>
                        </wps:cNvCnPr>
                        <wps:spPr>
                          <a:xfrm>
                            <a:off x="8439" y="21028"/>
                            <a:ext cx="2008" cy="8"/>
                          </a:xfrm>
                          <a:prstGeom prst="straightConnector1">
                            <a:avLst/>
                          </a:prstGeom>
                          <a:ln w="6350" cap="flat" cmpd="sng">
                            <a:solidFill>
                              <a:srgbClr val="000000"/>
                            </a:solidFill>
                            <a:prstDash val="solid"/>
                            <a:miter/>
                            <a:headEnd type="none" w="med" len="med"/>
                            <a:tailEnd type="triangle" w="med" len="med"/>
                          </a:ln>
                        </wps:spPr>
                        <wps:bodyPr/>
                      </wps:wsp>
                      <wps:wsp>
                        <wps:cNvPr id="189" name="直接箭头连接符 189"/>
                        <wps:cNvCnPr>
                          <a:stCxn id="177" idx="3"/>
                        </wps:cNvCnPr>
                        <wps:spPr>
                          <a:xfrm>
                            <a:off x="8413" y="22117"/>
                            <a:ext cx="2058" cy="11"/>
                          </a:xfrm>
                          <a:prstGeom prst="straightConnector1">
                            <a:avLst/>
                          </a:prstGeom>
                          <a:ln w="6350" cap="flat" cmpd="sng">
                            <a:solidFill>
                              <a:srgbClr val="000000"/>
                            </a:solidFill>
                            <a:prstDash val="solid"/>
                            <a:miter/>
                            <a:headEnd type="none" w="med" len="med"/>
                            <a:tailEnd type="triangle" w="med" len="med"/>
                          </a:ln>
                        </wps:spPr>
                        <wps:bodyPr/>
                      </wps:wsp>
                      <wps:wsp>
                        <wps:cNvPr id="190" name="圆角矩形 190"/>
                        <wps:cNvSpPr/>
                        <wps:spPr>
                          <a:xfrm>
                            <a:off x="5315" y="24576"/>
                            <a:ext cx="3090"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R语言分析出预测模型的列线图</w:t>
                              </w:r>
                            </w:p>
                          </w:txbxContent>
                        </wps:txbx>
                        <wps:bodyPr anchor="ctr" anchorCtr="0" upright="1"/>
                      </wps:wsp>
                      <wps:wsp>
                        <wps:cNvPr id="191" name="直接箭头连接符 191"/>
                        <wps:cNvCnPr>
                          <a:stCxn id="190" idx="3"/>
                          <a:endCxn id="181" idx="1"/>
                        </wps:cNvCnPr>
                        <wps:spPr>
                          <a:xfrm>
                            <a:off x="8405" y="24864"/>
                            <a:ext cx="672" cy="6"/>
                          </a:xfrm>
                          <a:prstGeom prst="straightConnector1">
                            <a:avLst/>
                          </a:prstGeom>
                          <a:ln w="6350" cap="flat" cmpd="sng">
                            <a:solidFill>
                              <a:srgbClr val="000000"/>
                            </a:solidFill>
                            <a:prstDash val="solid"/>
                            <a:miter/>
                            <a:headEnd type="none" w="med" len="med"/>
                            <a:tailEnd type="triangle" w="med" len="med"/>
                          </a:ln>
                        </wps:spPr>
                        <wps:bodyPr/>
                      </wps:wsp>
                      <wps:wsp>
                        <wps:cNvPr id="192" name="直接箭头连接符 192"/>
                        <wps:cNvCnPr>
                          <a:stCxn id="197" idx="2"/>
                          <a:endCxn id="181" idx="0"/>
                        </wps:cNvCnPr>
                        <wps:spPr>
                          <a:xfrm>
                            <a:off x="10456" y="23861"/>
                            <a:ext cx="11" cy="619"/>
                          </a:xfrm>
                          <a:prstGeom prst="straightConnector1">
                            <a:avLst/>
                          </a:prstGeom>
                          <a:ln w="6350" cap="flat" cmpd="sng">
                            <a:solidFill>
                              <a:srgbClr val="000000"/>
                            </a:solidFill>
                            <a:prstDash val="solid"/>
                            <a:miter/>
                            <a:headEnd type="none" w="med" len="med"/>
                            <a:tailEnd type="triangle" w="med" len="med"/>
                          </a:ln>
                        </wps:spPr>
                        <wps:bodyPr/>
                      </wps:wsp>
                      <wps:wsp>
                        <wps:cNvPr id="193" name="圆角矩形 193"/>
                        <wps:cNvSpPr/>
                        <wps:spPr>
                          <a:xfrm>
                            <a:off x="14464" y="21330"/>
                            <a:ext cx="1303"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对照组</w:t>
                              </w:r>
                              <w:proofErr w:type="spellEnd"/>
                            </w:p>
                          </w:txbxContent>
                        </wps:txbx>
                        <wps:bodyPr anchor="ctr" anchorCtr="0" upright="1"/>
                      </wps:wsp>
                      <wps:wsp>
                        <wps:cNvPr id="194" name="圆角矩形 194"/>
                        <wps:cNvSpPr/>
                        <wps:spPr>
                          <a:xfrm>
                            <a:off x="12888" y="21330"/>
                            <a:ext cx="1303" cy="69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rPr>
                                  <w:rFonts w:ascii="宋体" w:hAnsi="宋体"/>
                                  <w:sz w:val="18"/>
                                  <w:szCs w:val="18"/>
                                </w:rPr>
                              </w:pPr>
                              <w:proofErr w:type="spellStart"/>
                              <w:r>
                                <w:rPr>
                                  <w:rFonts w:ascii="宋体" w:hAnsi="宋体" w:hint="eastAsia"/>
                                  <w:sz w:val="18"/>
                                  <w:szCs w:val="18"/>
                                </w:rPr>
                                <w:t>预测模型诊断组</w:t>
                              </w:r>
                              <w:proofErr w:type="spellEnd"/>
                            </w:p>
                          </w:txbxContent>
                        </wps:txbx>
                        <wps:bodyPr anchor="ctr" anchorCtr="0" upright="1"/>
                      </wps:wsp>
                      <wps:wsp>
                        <wps:cNvPr id="195" name="圆角矩形 195"/>
                        <wps:cNvSpPr/>
                        <wps:spPr>
                          <a:xfrm>
                            <a:off x="12936" y="24453"/>
                            <a:ext cx="2906"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将验证数据代入预测模型中，校正模型</w:t>
                              </w:r>
                            </w:p>
                          </w:txbxContent>
                        </wps:txbx>
                        <wps:bodyPr anchor="ctr" anchorCtr="0" upright="1"/>
                      </wps:wsp>
                      <wps:wsp>
                        <wps:cNvPr id="197" name="圆角矩形 197"/>
                        <wps:cNvSpPr/>
                        <wps:spPr>
                          <a:xfrm>
                            <a:off x="9062" y="23023"/>
                            <a:ext cx="2787" cy="838"/>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R语言将验证数据代入预测模型中，校正模型</w:t>
                              </w:r>
                            </w:p>
                          </w:txbxContent>
                        </wps:txbx>
                        <wps:bodyPr anchor="ctr" anchorCtr="0" upright="1"/>
                      </wps:wsp>
                      <wps:wsp>
                        <wps:cNvPr id="198" name="圆角矩形 198"/>
                        <wps:cNvSpPr/>
                        <wps:spPr>
                          <a:xfrm>
                            <a:off x="12872" y="19645"/>
                            <a:ext cx="2879" cy="576"/>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jc w:val="center"/>
                              </w:pPr>
                              <w:proofErr w:type="spellStart"/>
                              <w:r>
                                <w:rPr>
                                  <w:rFonts w:ascii="宋体" w:hAnsi="宋体" w:hint="eastAsia"/>
                                  <w:sz w:val="20"/>
                                  <w:szCs w:val="20"/>
                                </w:rPr>
                                <w:t>入组前瞻随机研究验证</w:t>
                              </w:r>
                              <w:proofErr w:type="spellEnd"/>
                            </w:p>
                          </w:txbxContent>
                        </wps:txbx>
                        <wps:bodyPr anchor="ctr" anchorCtr="0" upright="1"/>
                      </wps:wsp>
                      <wps:wsp>
                        <wps:cNvPr id="202" name="直接箭头连接符 202"/>
                        <wps:cNvCnPr>
                          <a:endCxn id="195" idx="0"/>
                        </wps:cNvCnPr>
                        <wps:spPr>
                          <a:xfrm>
                            <a:off x="14379" y="23893"/>
                            <a:ext cx="10" cy="560"/>
                          </a:xfrm>
                          <a:prstGeom prst="straightConnector1">
                            <a:avLst/>
                          </a:prstGeom>
                          <a:ln w="6350" cap="flat" cmpd="sng">
                            <a:solidFill>
                              <a:srgbClr val="000000"/>
                            </a:solidFill>
                            <a:prstDash val="solid"/>
                            <a:miter/>
                            <a:headEnd type="none" w="med" len="med"/>
                            <a:tailEnd type="triangle" w="med" len="med"/>
                          </a:ln>
                        </wps:spPr>
                        <wps:bodyPr/>
                      </wps:wsp>
                      <wps:wsp>
                        <wps:cNvPr id="203" name="直接箭头连接符 203"/>
                        <wps:cNvCnPr>
                          <a:stCxn id="181" idx="3"/>
                          <a:endCxn id="195" idx="1"/>
                        </wps:cNvCnPr>
                        <wps:spPr>
                          <a:xfrm flipV="1">
                            <a:off x="11857" y="24860"/>
                            <a:ext cx="1079" cy="10"/>
                          </a:xfrm>
                          <a:prstGeom prst="straightConnector1">
                            <a:avLst/>
                          </a:prstGeom>
                          <a:ln w="6350" cap="flat" cmpd="sng">
                            <a:solidFill>
                              <a:srgbClr val="000000"/>
                            </a:solidFill>
                            <a:prstDash val="solid"/>
                            <a:miter/>
                            <a:headEnd type="none" w="med" len="med"/>
                            <a:tailEnd type="triangle" w="med" len="med"/>
                          </a:ln>
                        </wps:spPr>
                        <wps:bodyPr/>
                      </wps:wsp>
                      <wps:wsp>
                        <wps:cNvPr id="3" name="直接箭头连接符 3"/>
                        <wps:cNvCnPr/>
                        <wps:spPr>
                          <a:xfrm>
                            <a:off x="13498" y="22033"/>
                            <a:ext cx="9" cy="1067"/>
                          </a:xfrm>
                          <a:prstGeom prst="straightConnector1">
                            <a:avLst/>
                          </a:prstGeom>
                          <a:ln w="6350" cap="flat" cmpd="sng">
                            <a:solidFill>
                              <a:srgbClr val="000000"/>
                            </a:solidFill>
                            <a:prstDash val="solid"/>
                            <a:miter/>
                            <a:headEnd type="none" w="med" len="med"/>
                            <a:tailEnd type="triangle" w="med" len="med"/>
                          </a:ln>
                        </wps:spPr>
                        <wps:bodyPr/>
                      </wps:wsp>
                      <wps:wsp>
                        <wps:cNvPr id="4" name="直接箭头连接符 4"/>
                        <wps:cNvCnPr>
                          <a:stCxn id="193" idx="2"/>
                        </wps:cNvCnPr>
                        <wps:spPr>
                          <a:xfrm flipH="1">
                            <a:off x="15115" y="21906"/>
                            <a:ext cx="1" cy="1206"/>
                          </a:xfrm>
                          <a:prstGeom prst="straightConnector1">
                            <a:avLst/>
                          </a:prstGeom>
                          <a:ln w="6350" cap="flat" cmpd="sng">
                            <a:solidFill>
                              <a:srgbClr val="000000"/>
                            </a:solidFill>
                            <a:prstDash val="solid"/>
                            <a:miter/>
                            <a:headEnd type="none" w="med" len="med"/>
                            <a:tailEnd type="triangle" w="med" len="med"/>
                          </a:ln>
                        </wps:spPr>
                        <wps:bodyPr/>
                      </wps:wsp>
                      <wps:wsp>
                        <wps:cNvPr id="5" name="直接箭头连接符 5"/>
                        <wps:cNvCnPr/>
                        <wps:spPr>
                          <a:xfrm flipH="1">
                            <a:off x="13531" y="20233"/>
                            <a:ext cx="3" cy="1043"/>
                          </a:xfrm>
                          <a:prstGeom prst="straightConnector1">
                            <a:avLst/>
                          </a:prstGeom>
                          <a:ln w="6350" cap="flat" cmpd="sng">
                            <a:solidFill>
                              <a:srgbClr val="000000"/>
                            </a:solidFill>
                            <a:prstDash val="solid"/>
                            <a:miter/>
                            <a:headEnd type="none" w="med" len="med"/>
                            <a:tailEnd type="triangle" w="med" len="med"/>
                          </a:ln>
                        </wps:spPr>
                        <wps:bodyPr/>
                      </wps:wsp>
                      <wps:wsp>
                        <wps:cNvPr id="6" name="直接箭头连接符 6"/>
                        <wps:cNvCnPr/>
                        <wps:spPr>
                          <a:xfrm flipH="1">
                            <a:off x="15115" y="20245"/>
                            <a:ext cx="3" cy="1079"/>
                          </a:xfrm>
                          <a:prstGeom prst="straightConnector1">
                            <a:avLst/>
                          </a:prstGeom>
                          <a:ln w="6350" cap="flat" cmpd="sng">
                            <a:solidFill>
                              <a:srgbClr val="000000"/>
                            </a:solidFill>
                            <a:prstDash val="solid"/>
                            <a:miter/>
                            <a:headEnd type="none" w="med" len="med"/>
                            <a:tailEnd type="triangle" w="med" len="med"/>
                          </a:ln>
                        </wps:spPr>
                        <wps:bodyPr/>
                      </wps:wsp>
                      <wps:wsp>
                        <wps:cNvPr id="7" name="直接箭头连接符 7"/>
                        <wps:cNvCnPr>
                          <a:stCxn id="185" idx="2"/>
                          <a:endCxn id="197" idx="0"/>
                        </wps:cNvCnPr>
                        <wps:spPr>
                          <a:xfrm flipH="1">
                            <a:off x="10456" y="20221"/>
                            <a:ext cx="7" cy="2802"/>
                          </a:xfrm>
                          <a:prstGeom prst="straightConnector1">
                            <a:avLst/>
                          </a:prstGeom>
                          <a:ln w="6350" cap="flat" cmpd="sng">
                            <a:solidFill>
                              <a:srgbClr val="000000"/>
                            </a:solidFill>
                            <a:prstDash val="solid"/>
                            <a:miter/>
                            <a:headEnd type="none" w="med" len="med"/>
                            <a:tailEnd type="triangle" w="med" len="med"/>
                          </a:ln>
                        </wps:spPr>
                        <wps:bodyPr/>
                      </wps:wsp>
                      <wps:wsp>
                        <wps:cNvPr id="8" name="直接箭头连接符 8"/>
                        <wps:cNvCnPr>
                          <a:stCxn id="195" idx="2"/>
                          <a:endCxn id="9" idx="0"/>
                        </wps:cNvCnPr>
                        <wps:spPr>
                          <a:xfrm flipH="1">
                            <a:off x="14366" y="25266"/>
                            <a:ext cx="23" cy="595"/>
                          </a:xfrm>
                          <a:prstGeom prst="straightConnector1">
                            <a:avLst/>
                          </a:prstGeom>
                          <a:ln w="6350" cap="flat" cmpd="sng">
                            <a:solidFill>
                              <a:srgbClr val="000000"/>
                            </a:solidFill>
                            <a:prstDash val="solid"/>
                            <a:miter/>
                            <a:headEnd type="none" w="med" len="med"/>
                            <a:tailEnd type="triangle" w="med" len="med"/>
                          </a:ln>
                        </wps:spPr>
                        <wps:bodyPr/>
                      </wps:wsp>
                      <wps:wsp>
                        <wps:cNvPr id="9" name="圆角矩形 9"/>
                        <wps:cNvSpPr/>
                        <wps:spPr>
                          <a:xfrm>
                            <a:off x="12954" y="25861"/>
                            <a:ext cx="2824"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将模型在医院中试用，收集临床反馈数据</w:t>
                              </w:r>
                            </w:p>
                          </w:txbxContent>
                        </wps:txbx>
                        <wps:bodyPr anchor="ctr" anchorCtr="0" upright="1"/>
                      </wps:wsp>
                      <wps:wsp>
                        <wps:cNvPr id="10" name="圆角矩形 10"/>
                        <wps:cNvSpPr/>
                        <wps:spPr>
                          <a:xfrm>
                            <a:off x="9366" y="25861"/>
                            <a:ext cx="2824"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pStyle w:val="a4"/>
                                <w:spacing w:before="0" w:beforeAutospacing="0" w:after="0" w:afterAutospacing="0" w:line="288" w:lineRule="auto"/>
                                <w:jc w:val="center"/>
                                <w:rPr>
                                  <w:rFonts w:ascii="宋体" w:hAnsi="宋体"/>
                                  <w:sz w:val="20"/>
                                  <w:szCs w:val="20"/>
                                  <w:lang w:eastAsia="zh-CN"/>
                                </w:rPr>
                              </w:pPr>
                              <w:r>
                                <w:rPr>
                                  <w:rFonts w:ascii="宋体" w:hAnsi="宋体" w:hint="eastAsia"/>
                                  <w:sz w:val="20"/>
                                  <w:szCs w:val="20"/>
                                  <w:lang w:eastAsia="zh-CN"/>
                                </w:rPr>
                                <w:t>通过反馈数据持续校正模型</w:t>
                              </w:r>
                            </w:p>
                          </w:txbxContent>
                        </wps:txbx>
                        <wps:bodyPr anchor="ctr" anchorCtr="0" upright="1"/>
                      </wps:wsp>
                      <wps:wsp>
                        <wps:cNvPr id="11" name="直接箭头连接符 11"/>
                        <wps:cNvCnPr>
                          <a:stCxn id="184" idx="2"/>
                          <a:endCxn id="183" idx="0"/>
                        </wps:cNvCnPr>
                        <wps:spPr>
                          <a:xfrm>
                            <a:off x="6860" y="20202"/>
                            <a:ext cx="4" cy="437"/>
                          </a:xfrm>
                          <a:prstGeom prst="straightConnector1">
                            <a:avLst/>
                          </a:prstGeom>
                          <a:ln w="6350" cap="flat" cmpd="sng">
                            <a:solidFill>
                              <a:srgbClr val="000000"/>
                            </a:solidFill>
                            <a:prstDash val="solid"/>
                            <a:miter/>
                            <a:headEnd type="none" w="med" len="med"/>
                            <a:tailEnd type="triangle" w="med" len="med"/>
                          </a:ln>
                        </wps:spPr>
                        <wps:bodyPr/>
                      </wps:wsp>
                      <wps:wsp>
                        <wps:cNvPr id="12" name="直接箭头连接符 12"/>
                        <wps:cNvCnPr>
                          <a:stCxn id="183" idx="2"/>
                          <a:endCxn id="177" idx="0"/>
                        </wps:cNvCnPr>
                        <wps:spPr>
                          <a:xfrm flipH="1">
                            <a:off x="6862" y="21416"/>
                            <a:ext cx="2" cy="354"/>
                          </a:xfrm>
                          <a:prstGeom prst="straightConnector1">
                            <a:avLst/>
                          </a:prstGeom>
                          <a:ln w="6350" cap="flat" cmpd="sng">
                            <a:solidFill>
                              <a:srgbClr val="000000"/>
                            </a:solidFill>
                            <a:prstDash val="solid"/>
                            <a:miter/>
                            <a:headEnd type="none" w="med" len="med"/>
                            <a:tailEnd type="triangle" w="med" len="med"/>
                          </a:ln>
                        </wps:spPr>
                        <wps:bodyPr/>
                      </wps:wsp>
                      <wps:wsp>
                        <wps:cNvPr id="13" name="直接箭头连接符 13"/>
                        <wps:cNvCnPr>
                          <a:stCxn id="177" idx="2"/>
                          <a:endCxn id="179" idx="0"/>
                        </wps:cNvCnPr>
                        <wps:spPr>
                          <a:xfrm flipH="1">
                            <a:off x="6856" y="22464"/>
                            <a:ext cx="6" cy="354"/>
                          </a:xfrm>
                          <a:prstGeom prst="straightConnector1">
                            <a:avLst/>
                          </a:prstGeom>
                          <a:ln w="6350" cap="flat" cmpd="sng">
                            <a:solidFill>
                              <a:srgbClr val="000000"/>
                            </a:solidFill>
                            <a:prstDash val="solid"/>
                            <a:miter/>
                            <a:headEnd type="none" w="med" len="med"/>
                            <a:tailEnd type="triangle" w="med" len="med"/>
                          </a:ln>
                        </wps:spPr>
                        <wps:bodyPr/>
                      </wps:wsp>
                      <wps:wsp>
                        <wps:cNvPr id="14" name="直接箭头连接符 14"/>
                        <wps:cNvCnPr>
                          <a:stCxn id="179" idx="2"/>
                          <a:endCxn id="190" idx="0"/>
                        </wps:cNvCnPr>
                        <wps:spPr>
                          <a:xfrm>
                            <a:off x="6856" y="23978"/>
                            <a:ext cx="4" cy="598"/>
                          </a:xfrm>
                          <a:prstGeom prst="straightConnector1">
                            <a:avLst/>
                          </a:prstGeom>
                          <a:ln w="6350" cap="flat" cmpd="sng">
                            <a:solidFill>
                              <a:srgbClr val="000000"/>
                            </a:solidFill>
                            <a:prstDash val="solid"/>
                            <a:miter/>
                            <a:headEnd type="none" w="med" len="med"/>
                            <a:tailEnd type="triangle" w="med" len="med"/>
                          </a:ln>
                        </wps:spPr>
                        <wps:bodyPr/>
                      </wps:wsp>
                      <wps:wsp>
                        <wps:cNvPr id="15" name="直接箭头连接符 15"/>
                        <wps:cNvCnPr>
                          <a:stCxn id="9" idx="1"/>
                          <a:endCxn id="10" idx="3"/>
                        </wps:cNvCnPr>
                        <wps:spPr>
                          <a:xfrm flipH="1">
                            <a:off x="12190" y="26268"/>
                            <a:ext cx="764" cy="0"/>
                          </a:xfrm>
                          <a:prstGeom prst="straightConnector1">
                            <a:avLst/>
                          </a:prstGeom>
                          <a:ln w="6350" cap="flat" cmpd="sng">
                            <a:solidFill>
                              <a:srgbClr val="000000"/>
                            </a:solidFill>
                            <a:prstDash val="solid"/>
                            <a:miter/>
                            <a:headEnd type="none" w="med" len="med"/>
                            <a:tailEnd type="triangle" w="med" len="med"/>
                          </a:ln>
                        </wps:spPr>
                        <wps:bodyPr/>
                      </wps:wsp>
                      <wps:wsp>
                        <wps:cNvPr id="16" name="直接箭头连接符 16"/>
                        <wps:cNvCnPr>
                          <a:stCxn id="10" idx="1"/>
                          <a:endCxn id="17" idx="3"/>
                        </wps:cNvCnPr>
                        <wps:spPr>
                          <a:xfrm flipH="1">
                            <a:off x="8493" y="26268"/>
                            <a:ext cx="873" cy="0"/>
                          </a:xfrm>
                          <a:prstGeom prst="straightConnector1">
                            <a:avLst/>
                          </a:prstGeom>
                          <a:ln w="6350" cap="flat" cmpd="sng">
                            <a:solidFill>
                              <a:srgbClr val="000000"/>
                            </a:solidFill>
                            <a:prstDash val="solid"/>
                            <a:miter/>
                            <a:headEnd type="none" w="med" len="med"/>
                            <a:tailEnd type="triangle" w="med" len="med"/>
                          </a:ln>
                        </wps:spPr>
                        <wps:bodyPr/>
                      </wps:wsp>
                      <wps:wsp>
                        <wps:cNvPr id="17" name="圆角矩形 17"/>
                        <wps:cNvSpPr/>
                        <wps:spPr>
                          <a:xfrm>
                            <a:off x="5323" y="25861"/>
                            <a:ext cx="3170" cy="813"/>
                          </a:xfrm>
                          <a:prstGeom prst="roundRect">
                            <a:avLst>
                              <a:gd name="adj" fmla="val 16667"/>
                            </a:avLst>
                          </a:prstGeom>
                          <a:noFill/>
                          <a:ln w="12700" cap="flat" cmpd="sng">
                            <a:solidFill>
                              <a:srgbClr val="000000"/>
                            </a:solidFill>
                            <a:prstDash val="solid"/>
                            <a:miter/>
                            <a:headEnd type="none" w="med" len="med"/>
                            <a:tailEnd type="none" w="med" len="med"/>
                          </a:ln>
                        </wps:spPr>
                        <wps:txbx>
                          <w:txbxContent>
                            <w:p w:rsidR="00383CD3" w:rsidRDefault="00BA6A96">
                              <w:pPr>
                                <w:jc w:val="center"/>
                                <w:rPr>
                                  <w:rFonts w:ascii="宋体" w:hAnsi="宋体"/>
                                  <w:sz w:val="20"/>
                                  <w:szCs w:val="20"/>
                                  <w:lang w:eastAsia="zh-CN"/>
                                </w:rPr>
                              </w:pPr>
                              <w:r>
                                <w:rPr>
                                  <w:rFonts w:ascii="宋体" w:hAnsi="宋体" w:hint="eastAsia"/>
                                  <w:sz w:val="20"/>
                                  <w:szCs w:val="20"/>
                                  <w:lang w:eastAsia="zh-CN"/>
                                </w:rPr>
                                <w:t>结合非形态学临床数据持续改进模型</w:t>
                              </w:r>
                            </w:p>
                          </w:txbxContent>
                        </wps:txbx>
                        <wps:bodyPr anchor="ctr" anchorCtr="0" upright="1"/>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22.6pt;margin-top:27.4pt;height:289.4pt;width:465.9pt;z-index:251659264;mso-width-relative:page;mso-height-relative:page;" coordorigin="5289,19626" coordsize="10553,7047" o:gfxdata="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">
                <o:lock v:ext="edit" aspectratio="f"/>
                <v:roundrect id="_x0000_s1026" o:spid="_x0000_s1026" o:spt="2" style="position:absolute;left:5311;top:21770;height:694;width:3102;v-text-anchor:middle;" filled="f" stroked="t" coordsize="21600,21600" arcsize="0.166666666666667" o:gfxdata="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TyO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5D730E29">
                        <w:pPr>
                          <w:pStyle w:val="3"/>
                          <w:spacing w:before="0" w:beforeAutospacing="0" w:after="0" w:afterAutospacing="0"/>
                          <w:jc w:val="center"/>
                        </w:pPr>
                        <w:r>
                          <w:rPr>
                            <w:rFonts w:hint="eastAsia" w:ascii="宋体" w:hAnsi="宋体"/>
                            <w:color w:val="000000"/>
                            <w:sz w:val="20"/>
                            <w:szCs w:val="20"/>
                          </w:rPr>
                          <w:t>分析并记录子宫内膜形态学参数</w:t>
                        </w:r>
                      </w:p>
                    </w:txbxContent>
                  </v:textbox>
                </v:roundrect>
                <v:roundrect id="_x0000_s1026" o:spid="_x0000_s1026" o:spt="2" style="position:absolute;left:5311;top:22818;height:1160;width:3090;v-text-anchor:middle;" filled="f" stroked="t" coordsize="21600,21600" arcsize="0.166666666666667" o:gfxdata="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Hw9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72CD01A6">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SPSS对统计数据描述性分析，二元logistic回归分析</w:t>
                        </w:r>
                      </w:p>
                      <w:p w14:paraId="7DDE8536">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得出初步预测模型</w:t>
                        </w:r>
                      </w:p>
                    </w:txbxContent>
                  </v:textbox>
                </v:roundrect>
                <v:roundrect id="_x0000_s1026" o:spid="_x0000_s1026" o:spt="2" style="position:absolute;left:9077;top:24480;height:779;width:2780;v-text-anchor:middle;" filled="f" stroked="t" coordsize="21600,21600" arcsize="0.166666666666667" o:gfxdata="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8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6BB4CCF2">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子宫内膜宫腔镜下形态学诊断模型</w:t>
                        </w:r>
                      </w:p>
                    </w:txbxContent>
                  </v:textbox>
                </v:roundrect>
                <v:roundrect id="_x0000_s1026" o:spid="_x0000_s1026" o:spt="2" style="position:absolute;left:12963;top:23109;height:766;width:2787;v-text-anchor:middle;" filled="f" stroked="t" coordsize="21600,21600" arcsize="0.166666666666667" o:gfxdata="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Yhh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5087A33B">
                        <w:pPr>
                          <w:pStyle w:val="3"/>
                          <w:adjustRightInd w:val="0"/>
                          <w:snapToGrid w:val="0"/>
                          <w:spacing w:before="0" w:beforeAutospacing="0" w:after="0" w:afterAutospacing="0" w:line="288" w:lineRule="auto"/>
                          <w:jc w:val="center"/>
                        </w:pPr>
                        <w:r>
                          <w:rPr>
                            <w:rFonts w:hint="eastAsia" w:ascii="宋体" w:hAnsi="宋体"/>
                            <w:color w:val="000000"/>
                            <w:sz w:val="20"/>
                            <w:szCs w:val="20"/>
                          </w:rPr>
                          <w:t>比较敏感性，特异性，阳性预测值及阴性预测值</w:t>
                        </w:r>
                      </w:p>
                    </w:txbxContent>
                  </v:textbox>
                </v:roundrect>
                <v:roundrect id="_x0000_s1026" o:spid="_x0000_s1026" o:spt="2" style="position:absolute;left:5289;top:20639;height:777;width:3150;v-text-anchor:middle;" filled="f" stroked="t" coordsize="21600,21600" arcsize="0.166666666666667" o:gfxdata="UEsDBAoAAAAAAIdO4kAAAAAAAAAAAAAAAAAEAAAAZHJzL1BLAwQUAAAACACHTuJAqHqEHbsAAADc&#10;AAAADwAAAGRycy9kb3ducmV2LnhtbEVP32vCMBB+H/g/hBP2NpNuIF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qEH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1A32D0B9">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收集临床资料：宫腔镜图像及组织病理结果</w:t>
                        </w:r>
                      </w:p>
                    </w:txbxContent>
                  </v:textbox>
                </v:roundrect>
                <v:roundrect id="_x0000_s1026" o:spid="_x0000_s1026" o:spt="2" style="position:absolute;left:5445;top:19626;height:576;width:2829;v-text-anchor:middle;" filled="f" stroked="t" coordsize="21600,21600" arcsize="0.166666666666667" o:gfxdata="UEsDBAoAAAAAAIdO4kAAAAAAAAAAAAAAAAAEAAAAZHJzL1BLAwQUAAAACACHTuJAJ5McabsAAADc&#10;AAAADwAAAGRycy9kb3ducmV2LnhtbEVP32vCMBB+H/g/hBP2NpOOIV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Mca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76FC6E5E">
                        <w:pPr>
                          <w:pStyle w:val="3"/>
                          <w:spacing w:before="0" w:beforeAutospacing="0" w:after="0" w:afterAutospacing="0"/>
                          <w:jc w:val="center"/>
                        </w:pPr>
                        <w:r>
                          <w:rPr>
                            <w:rFonts w:hint="eastAsia" w:ascii="宋体" w:hAnsi="宋体"/>
                            <w:color w:val="000000"/>
                            <w:sz w:val="20"/>
                            <w:szCs w:val="20"/>
                          </w:rPr>
                          <w:t>收集建模组临床资料</w:t>
                        </w:r>
                      </w:p>
                    </w:txbxContent>
                  </v:textbox>
                </v:roundrect>
                <v:roundrect id="_x0000_s1026" o:spid="_x0000_s1026" o:spt="2" style="position:absolute;left:9023;top:19645;height:576;width:2879;v-text-anchor:middle;" filled="f" stroked="t" coordsize="21600,21600" arcsize="0.166666666666667" o:gfxdata="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58r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1D9B0852">
                        <w:pPr>
                          <w:pStyle w:val="3"/>
                          <w:spacing w:before="0" w:beforeAutospacing="0" w:after="0" w:afterAutospacing="0"/>
                          <w:jc w:val="center"/>
                        </w:pPr>
                        <w:r>
                          <w:rPr>
                            <w:rFonts w:hint="eastAsia" w:ascii="宋体" w:hAnsi="宋体"/>
                            <w:color w:val="000000"/>
                            <w:sz w:val="20"/>
                            <w:szCs w:val="20"/>
                          </w:rPr>
                          <w:t>收集验证组临床资料</w:t>
                        </w:r>
                      </w:p>
                    </w:txbxContent>
                  </v:textbox>
                </v:roundrect>
                <v:shape id="_x0000_s1026" o:spid="_x0000_s1026" o:spt="32" type="#_x0000_t32" style="position:absolute;left:8439;top:21028;height:8;width:2008;" filled="f" stroked="t" coordsize="21600,21600" o:gfxdata="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SenvQAA&#10;ANw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8413;top:22117;height:11;width:2058;" filled="f" stroked="t" coordsize="21600,21600" o:gfxdata="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qYI8ugAAANw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roundrect id="_x0000_s1026" o:spid="_x0000_s1026" o:spt="2" style="position:absolute;left:5315;top:24576;height:576;width:3090;v-text-anchor:middle;" filled="f" stroked="t" coordsize="21600,21600" arcsize="0.166666666666667" o:gfxdata="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GMt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0B963981">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R语言分析出预测模型的列线图</w:t>
                        </w:r>
                      </w:p>
                    </w:txbxContent>
                  </v:textbox>
                </v:roundrect>
                <v:shape id="_x0000_s1026" o:spid="_x0000_s1026" o:spt="32" type="#_x0000_t32" style="position:absolute;left:8405;top:24864;height:6;width:672;" filled="f" stroked="t" coordsize="21600,21600" o:gfxdata="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YY57sAAADc&#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10456;top:23861;height:619;width:11;" filled="f" stroked="t" coordsize="21600,21600" o:gfxdata="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SGkLsAAADc&#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roundrect id="_x0000_s1026" o:spid="_x0000_s1026" o:spt="2" style="position:absolute;left:14464;top:21330;height:576;width:1303;v-text-anchor:middle;" filled="f" stroked="t" coordsize="21600,21600" arcsize="0.166666666666667" o:gfxdata="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jEs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4694B91B">
                        <w:pPr>
                          <w:pStyle w:val="3"/>
                          <w:spacing w:before="0" w:beforeAutospacing="0" w:after="0" w:afterAutospacing="0"/>
                          <w:jc w:val="center"/>
                        </w:pPr>
                        <w:r>
                          <w:rPr>
                            <w:rFonts w:hint="eastAsia" w:ascii="宋体" w:hAnsi="宋体"/>
                            <w:color w:val="000000"/>
                            <w:sz w:val="20"/>
                            <w:szCs w:val="20"/>
                          </w:rPr>
                          <w:t>对照组</w:t>
                        </w:r>
                      </w:p>
                    </w:txbxContent>
                  </v:textbox>
                </v:roundrect>
                <v:roundrect id="_x0000_s1026" o:spid="_x0000_s1026" o:spt="2" style="position:absolute;left:12888;top:21330;height:696;width:1303;v-text-anchor:middle;" filled="f" stroked="t" coordsize="21600,21600" arcsize="0.166666666666667" o:gfxdata="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KirS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6D9F7B5F">
                        <w:pPr>
                          <w:pStyle w:val="3"/>
                          <w:adjustRightInd w:val="0"/>
                          <w:snapToGrid w:val="0"/>
                          <w:spacing w:before="0" w:beforeAutospacing="0" w:after="0" w:afterAutospacing="0"/>
                          <w:jc w:val="center"/>
                          <w:rPr>
                            <w:rFonts w:ascii="宋体" w:hAnsi="宋体"/>
                            <w:color w:val="000000"/>
                            <w:sz w:val="18"/>
                            <w:szCs w:val="18"/>
                          </w:rPr>
                        </w:pPr>
                        <w:r>
                          <w:rPr>
                            <w:rFonts w:hint="eastAsia" w:ascii="宋体" w:hAnsi="宋体"/>
                            <w:color w:val="000000"/>
                            <w:sz w:val="18"/>
                            <w:szCs w:val="18"/>
                          </w:rPr>
                          <w:t>预测模型诊断组</w:t>
                        </w:r>
                      </w:p>
                    </w:txbxContent>
                  </v:textbox>
                </v:roundrect>
                <v:roundrect id="_x0000_s1026" o:spid="_x0000_s1026" o:spt="2" style="position:absolute;left:12936;top:24453;height:813;width:2906;v-text-anchor:middle;" filled="f" stroked="t" coordsize="21600,21600" arcsize="0.166666666666667" o:gfxdata="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GL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63E56C19">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将验证数据代入预测模型中</w:t>
                        </w:r>
                        <w:r>
                          <w:rPr>
                            <w:rFonts w:hint="eastAsia" w:ascii="宋体" w:hAnsi="宋体"/>
                            <w:color w:val="000000"/>
                            <w:sz w:val="20"/>
                            <w:szCs w:val="20"/>
                            <w:lang w:eastAsia="zh-CN"/>
                          </w:rPr>
                          <w:t>，</w:t>
                        </w:r>
                        <w:r>
                          <w:rPr>
                            <w:rFonts w:hint="eastAsia" w:ascii="宋体" w:hAnsi="宋体"/>
                            <w:color w:val="000000"/>
                            <w:sz w:val="20"/>
                            <w:szCs w:val="20"/>
                          </w:rPr>
                          <w:t>校正模型</w:t>
                        </w:r>
                      </w:p>
                    </w:txbxContent>
                  </v:textbox>
                </v:roundrect>
                <v:roundrect id="_x0000_s1026" o:spid="_x0000_s1026" o:spt="2" style="position:absolute;left:9062;top:23023;height:838;width:2787;v-text-anchor:middle;" filled="f" stroked="t" coordsize="21600,21600" arcsize="0.166666666666667" o:gfxdata="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YFMO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448CF827">
                        <w:pPr>
                          <w:pStyle w:val="3"/>
                          <w:adjustRightInd w:val="0"/>
                          <w:snapToGrid w:val="0"/>
                          <w:spacing w:before="0" w:beforeAutospacing="0" w:after="0" w:afterAutospacing="0" w:line="288" w:lineRule="auto"/>
                          <w:jc w:val="center"/>
                          <w:rPr>
                            <w:rFonts w:ascii="宋体" w:hAnsi="宋体"/>
                            <w:color w:val="000000"/>
                            <w:sz w:val="20"/>
                            <w:szCs w:val="20"/>
                          </w:rPr>
                        </w:pPr>
                        <w:r>
                          <w:rPr>
                            <w:rFonts w:hint="eastAsia" w:ascii="宋体" w:hAnsi="宋体"/>
                            <w:color w:val="000000"/>
                            <w:sz w:val="20"/>
                            <w:szCs w:val="20"/>
                          </w:rPr>
                          <w:t>R语言将验证数据代入预测模型中，校正模型</w:t>
                        </w:r>
                      </w:p>
                    </w:txbxContent>
                  </v:textbox>
                </v:roundrect>
                <v:roundrect id="_x0000_s1026" o:spid="_x0000_s1026" o:spt="2" style="position:absolute;left:12872;top:19645;height:576;width:2879;v-text-anchor:middle;" filled="f" stroked="t" coordsize="21600,21600" arcsize="0.166666666666667" o:gfxdata="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eAs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14:paraId="49D5AD39">
                        <w:pPr>
                          <w:pStyle w:val="3"/>
                          <w:spacing w:before="0" w:beforeAutospacing="0" w:after="0" w:afterAutospacing="0"/>
                          <w:jc w:val="center"/>
                        </w:pPr>
                        <w:r>
                          <w:rPr>
                            <w:rFonts w:hint="eastAsia" w:ascii="宋体" w:hAnsi="宋体"/>
                            <w:color w:val="000000"/>
                            <w:sz w:val="20"/>
                            <w:szCs w:val="20"/>
                          </w:rPr>
                          <w:t>入组前瞻随机研究验证</w:t>
                        </w:r>
                      </w:p>
                    </w:txbxContent>
                  </v:textbox>
                </v:roundrect>
                <v:shape id="_x0000_s1026" o:spid="_x0000_s1026" o:spt="32" type="#_x0000_t32" style="position:absolute;left:14379;top:23893;height:560;width:10;" filled="f" stroked="t" coordsize="21600,21600" o:gfxdata="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3JrvQAA&#10;ANw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1857;top:24860;flip:y;height:10;width:1079;" filled="f" stroked="t" coordsize="21600,21600" o:gfxdata="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dPA74A&#10;AADc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shape id="_x0000_s1026" o:spid="_x0000_s1026" o:spt="32" type="#_x0000_t32" style="position:absolute;left:13498;top:22033;height:1067;width:9;" filled="f" stroked="t" coordsize="21600,21600" o:gfxdata="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8uQW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5115;top:21906;flip:x;height:1206;width:1;" filled="f" stroked="t" coordsize="21600,21600" o:gfxdata="UEsDBAoAAAAAAIdO4kAAAAAAAAAAAAAAAAAEAAAAZHJzL1BLAwQUAAAACACHTuJARDITxL0AAADa&#10;AAAADwAAAGRycy9kb3ducmV2LnhtbEWPzWrDMBCE74W+g9hCLyGREkp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hPEvQAA&#10;ANo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3531;top:20233;flip:x;height:1043;width:3;" filled="f" stroked="t" coordsize="21600,21600" o:gfxdata="UEsDBAoAAAAAAIdO4kAAAAAAAAAAAAAAAAAEAAAAZHJzL1BLAwQUAAAACACHTuJAK362X70AAADa&#10;AAAADwAAAGRycy9kb3ducmV2LnhtbEWPzWrDMBCE74W+g9hCLyGREmh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rZfvQAA&#10;ANo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5115;top:20245;flip:x;height:1079;width:3;" filled="f" stroked="t" coordsize="21600,21600" o:gfxdata="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KCi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0456;top:20221;flip:x;height:2802;width:7;" filled="f" stroked="t" coordsize="21600,21600" o:gfxdata="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4I2zvQAA&#10;ANo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14366;top:25266;flip:x;height:595;width:23;" filled="f" stroked="t" coordsize="21600,21600" o:gfxdata="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fxnBugAAANo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roundrect id="_x0000_s1026" o:spid="_x0000_s1026" o:spt="2" style="position:absolute;left:12954;top:25861;height:813;width:2824;v-text-anchor:middle;" filled="f" stroked="t" coordsize="21600,21600" arcsize="0.166666666666667" o:gfxdata="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YKmK8AAAA&#10;2g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14:paraId="7C337A80">
                        <w:pPr>
                          <w:pStyle w:val="3"/>
                          <w:adjustRightInd w:val="0"/>
                          <w:snapToGrid w:val="0"/>
                          <w:spacing w:before="0" w:beforeAutospacing="0" w:after="0" w:afterAutospacing="0"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将模型在医院中试用，收集临床反馈数据</w:t>
                        </w:r>
                      </w:p>
                    </w:txbxContent>
                  </v:textbox>
                </v:roundrect>
                <v:roundrect id="_x0000_s1026" o:spid="_x0000_s1026" o:spt="2" style="position:absolute;left:9366;top:25861;height:813;width:2824;v-text-anchor:middle;" filled="f" stroked="t" coordsize="21600,21600" arcsize="0.166666666666667" o:gfxdata="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ruif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14:paraId="78C315AF">
                        <w:pPr>
                          <w:pStyle w:val="3"/>
                          <w:adjustRightInd w:val="0"/>
                          <w:snapToGrid w:val="0"/>
                          <w:spacing w:before="0" w:beforeAutospacing="0" w:after="0" w:afterAutospacing="0"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通过反馈数据持续校正模型</w:t>
                        </w:r>
                      </w:p>
                    </w:txbxContent>
                  </v:textbox>
                </v:roundrect>
                <v:shape id="_x0000_s1026" o:spid="_x0000_s1026" o:spt="32" type="#_x0000_t32" style="position:absolute;left:6860;top:20202;height:437;width:4;" filled="f" stroked="t" coordsize="21600,21600" o:gfxdata="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N8VU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2" type="#_x0000_t32" style="position:absolute;left:6862;top:21416;flip:x;height:354;width:2;" filled="f" stroked="t" coordsize="21600,21600" o:gfxdata="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NaAr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6856;top:22464;flip:x;height:354;width:6;" filled="f" stroked="t" coordsize="21600,21600" o:gfxdata="UEsDBAoAAAAAAIdO4kAAAAAAAAAAAAAAAAAEAAAAZHJzL1BLAwQUAAAACACHTuJA62//mbwAAADb&#10;AAAADwAAAGRycy9kb3ducmV2LnhtbEVPS2rDMBDdF3oHMYVuQiIlhd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v/5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6856;top:23978;height:598;width:4;" filled="f" stroked="t" coordsize="21600,21600" o:gfxdata="UEsDBAoAAAAAAIdO4kAAAAAAAAAAAAAAAAAEAAAAZHJzL1BLAwQUAAAACACHTuJAdkBmzLsAAADb&#10;AAAADwAAAGRycy9kb3ducmV2LnhtbEVPPWvDMBDdC/0P4grZGtl1KK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BmzL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12190;top:26268;flip:x;height:0;width:764;" filled="f" stroked="t" coordsize="21600,21600" o:gfxdata="UEsDBAoAAAAAAIdO4kAAAAAAAAAAAAAAAAAEAAAAZHJzL1BLAwQUAAAACACHTuJAC8rCdrwAAADb&#10;AAAADwAAAGRycy9kb3ducmV2LnhtbEVPS2rDMBDdF3oHMYVuQiIl0N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wna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8493;top:26268;flip:x;height:0;width:873;" filled="f" stroked="t" coordsize="21600,21600" o:gfxdata="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cAb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roundrect id="_x0000_s1026" o:spid="_x0000_s1026" o:spt="2" style="position:absolute;left:5323;top:25861;height:813;width:3170;v-text-anchor:middle;" filled="f" stroked="t" coordsize="21600,21600" arcsize="0.166666666666667" o:gfxdata="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dw67sAAADb&#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14:paraId="5B8B27DA">
                        <w:pPr>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结合非形态学临床数据持续改进模型</w:t>
                        </w:r>
                      </w:p>
                    </w:txbxContent>
                  </v:textbox>
                </v:roundrect>
              </v:group>
            </w:pict>
          </mc:Fallback>
        </mc:AlternateContent>
      </w:r>
      <w:r>
        <w:rPr>
          <w:rFonts w:hint="eastAsia"/>
          <w:b/>
          <w:bCs/>
          <w:spacing w:val="7"/>
          <w:sz w:val="24"/>
          <w:szCs w:val="24"/>
          <w:lang w:eastAsia="zh-CN"/>
        </w:rPr>
        <w:t>2.技术路线：</w:t>
      </w: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383CD3">
      <w:pPr>
        <w:pStyle w:val="a3"/>
        <w:spacing w:before="186" w:line="279" w:lineRule="auto"/>
        <w:ind w:left="136" w:right="138" w:firstLine="647"/>
        <w:rPr>
          <w:rFonts w:ascii="宋体" w:eastAsia="宋体" w:hAnsi="宋体" w:cs="宋体"/>
          <w:b/>
          <w:bCs/>
          <w:spacing w:val="7"/>
          <w:sz w:val="24"/>
          <w:szCs w:val="24"/>
          <w:lang w:eastAsia="zh-CN"/>
        </w:rPr>
      </w:pPr>
    </w:p>
    <w:p w:rsidR="00383CD3" w:rsidRDefault="00BA6A96">
      <w:pPr>
        <w:pStyle w:val="a3"/>
        <w:spacing w:before="186" w:line="360" w:lineRule="auto"/>
        <w:ind w:right="136"/>
        <w:rPr>
          <w:b/>
          <w:bCs/>
          <w:spacing w:val="7"/>
          <w:sz w:val="24"/>
          <w:szCs w:val="24"/>
          <w:lang w:eastAsia="zh-CN"/>
        </w:rPr>
      </w:pPr>
      <w:r>
        <w:rPr>
          <w:rFonts w:hint="eastAsia"/>
          <w:b/>
          <w:bCs/>
          <w:spacing w:val="7"/>
          <w:sz w:val="24"/>
          <w:szCs w:val="24"/>
          <w:lang w:eastAsia="zh-CN"/>
        </w:rPr>
        <w:lastRenderedPageBreak/>
        <w:t>3.创新点：</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（1）高敏感性和特异性：该预测模型在训练集和验证集中的表现均显示出高敏感性和特异性，有助于减少误诊和漏诊。</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（2）客观诊断指标：通过统计学分析为特定的宫腔镜形态学参数赋值，提供形态学诊断的客观指标，有助于降低临床医师间诊断的异质性。</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（3）易于临床应用：模型通过列线图形式，临床医生可以快速计算出子宫内膜癌的风险评分，辅助诊断。</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4）个性化医疗的潜力：将模型应用于临床，可以进一步收集临床反馈数据，可进一步通过临床反馈数据持续校正模型；将尝试结合非形态学临床数据（年龄、异常子宫出血情况、BMI等），及分子标记物，以实现更个性化的诊断和治疗策略。</w:t>
      </w:r>
    </w:p>
    <w:p w:rsidR="00383CD3" w:rsidRDefault="00BA6A96">
      <w:pPr>
        <w:pStyle w:val="a3"/>
        <w:spacing w:before="186" w:line="360" w:lineRule="auto"/>
        <w:ind w:right="136"/>
        <w:rPr>
          <w:b/>
          <w:bCs/>
          <w:spacing w:val="7"/>
          <w:sz w:val="24"/>
          <w:szCs w:val="24"/>
          <w:lang w:eastAsia="zh-CN"/>
        </w:rPr>
      </w:pPr>
      <w:r>
        <w:rPr>
          <w:rFonts w:hint="eastAsia"/>
          <w:b/>
          <w:bCs/>
          <w:spacing w:val="7"/>
          <w:sz w:val="24"/>
          <w:szCs w:val="24"/>
          <w:lang w:eastAsia="zh-CN"/>
        </w:rPr>
        <w:t>4.项目产出：</w:t>
      </w:r>
    </w:p>
    <w:p w:rsidR="00383CD3" w:rsidRDefault="00BA6A96">
      <w:pPr>
        <w:pStyle w:val="a3"/>
        <w:spacing w:before="185" w:line="360" w:lineRule="auto"/>
        <w:ind w:firstLineChars="200" w:firstLine="508"/>
        <w:rPr>
          <w:spacing w:val="7"/>
          <w:sz w:val="24"/>
          <w:szCs w:val="24"/>
          <w:lang w:eastAsia="zh-CN"/>
        </w:rPr>
      </w:pPr>
      <w:r>
        <w:rPr>
          <w:rFonts w:hint="eastAsia"/>
          <w:spacing w:val="7"/>
          <w:sz w:val="24"/>
          <w:szCs w:val="24"/>
          <w:lang w:eastAsia="zh-CN"/>
        </w:rPr>
        <w:t>（1）本研究结果发表期刊论文，通过会议交流等方法汇报推广。完成</w:t>
      </w:r>
      <w:r>
        <w:rPr>
          <w:rFonts w:ascii="Times New Roman" w:hAnsi="Times New Roman" w:cs="Times New Roman"/>
          <w:spacing w:val="7"/>
          <w:sz w:val="24"/>
          <w:szCs w:val="24"/>
          <w:lang w:eastAsia="zh-CN"/>
        </w:rPr>
        <w:t>南京市卫生科技发展专项资金项目</w:t>
      </w:r>
      <w:r>
        <w:rPr>
          <w:rFonts w:ascii="Times New Roman" w:hAnsi="Times New Roman" w:cs="Times New Roman" w:hint="eastAsia"/>
          <w:spacing w:val="7"/>
          <w:sz w:val="24"/>
          <w:szCs w:val="24"/>
          <w:lang w:eastAsia="zh-CN"/>
        </w:rPr>
        <w:t>，培养硕士研究生及青年医生多名，</w:t>
      </w:r>
      <w:r>
        <w:rPr>
          <w:rFonts w:hint="eastAsia"/>
          <w:spacing w:val="7"/>
          <w:sz w:val="24"/>
          <w:szCs w:val="24"/>
          <w:lang w:eastAsia="zh-CN"/>
        </w:rPr>
        <w:t>促进年轻医生成长</w:t>
      </w:r>
      <w:r>
        <w:rPr>
          <w:rFonts w:ascii="Times New Roman" w:hAnsi="Times New Roman" w:cs="Times New Roman" w:hint="eastAsia"/>
          <w:spacing w:val="7"/>
          <w:sz w:val="24"/>
          <w:szCs w:val="24"/>
          <w:lang w:eastAsia="zh-CN"/>
        </w:rPr>
        <w:t>。</w:t>
      </w:r>
    </w:p>
    <w:p w:rsidR="00383CD3" w:rsidRDefault="00BA6A96">
      <w:pPr>
        <w:pStyle w:val="a3"/>
        <w:spacing w:before="186" w:line="360" w:lineRule="auto"/>
        <w:ind w:right="136" w:firstLineChars="200" w:firstLine="508"/>
        <w:rPr>
          <w:spacing w:val="7"/>
          <w:sz w:val="24"/>
          <w:szCs w:val="24"/>
          <w:lang w:eastAsia="zh-CN"/>
        </w:rPr>
      </w:pPr>
      <w:r>
        <w:rPr>
          <w:rFonts w:hint="eastAsia"/>
          <w:spacing w:val="7"/>
          <w:sz w:val="24"/>
          <w:szCs w:val="24"/>
          <w:lang w:eastAsia="zh-CN"/>
        </w:rPr>
        <w:t>（2）本研究建立的预测模型，已在南京医科大学第二附属医院，南京医科大学附属逸夫医院，南京市第二医院，南京市红十字医院，南京市浦口人民医院妇产科开展试用，协助妇产科医生在宫腔镜下更精确的定位活检可疑子宫内膜癌病灶，减少漏诊、误诊率。为子宫内膜癌的三级预防做出作用。提供了子宫内膜癌的宫腔镜诊疗新技术，推动宫腔镜诊疗，具有重要的社会效益与医学临床价值。</w:t>
      </w:r>
    </w:p>
    <w:p w:rsidR="00383CD3" w:rsidRDefault="00BA6A96">
      <w:pPr>
        <w:pStyle w:val="a3"/>
        <w:numPr>
          <w:ilvl w:val="0"/>
          <w:numId w:val="2"/>
        </w:numPr>
        <w:spacing w:before="186" w:line="360" w:lineRule="auto"/>
        <w:ind w:right="138"/>
        <w:rPr>
          <w:spacing w:val="7"/>
          <w:sz w:val="31"/>
          <w:szCs w:val="31"/>
          <w:lang w:eastAsia="zh-CN"/>
        </w:rPr>
      </w:pPr>
      <w:r>
        <w:rPr>
          <w:spacing w:val="7"/>
          <w:sz w:val="31"/>
          <w:szCs w:val="31"/>
          <w:lang w:eastAsia="zh-CN"/>
        </w:rPr>
        <w:t>主要支撑材料目录（被引用论文题目及作者）</w:t>
      </w:r>
    </w:p>
    <w:p w:rsidR="00383CD3" w:rsidRDefault="00BA6A96">
      <w:pPr>
        <w:spacing w:line="360" w:lineRule="auto"/>
        <w:rPr>
          <w:sz w:val="24"/>
          <w:lang w:eastAsia="zh-CN"/>
        </w:rPr>
      </w:pPr>
      <w:r>
        <w:rPr>
          <w:sz w:val="24"/>
          <w:lang w:eastAsia="zh-CN"/>
        </w:rPr>
        <w:t xml:space="preserve">1.Hao Wu（吴浩）, </w:t>
      </w:r>
      <w:proofErr w:type="spellStart"/>
      <w:r>
        <w:rPr>
          <w:sz w:val="24"/>
          <w:lang w:eastAsia="zh-CN"/>
        </w:rPr>
        <w:t>Qianyu</w:t>
      </w:r>
      <w:proofErr w:type="spellEnd"/>
      <w:r>
        <w:rPr>
          <w:sz w:val="24"/>
          <w:lang w:eastAsia="zh-CN"/>
        </w:rPr>
        <w:t xml:space="preserve"> Chen（陈倩玉）, </w:t>
      </w:r>
      <w:proofErr w:type="spellStart"/>
      <w:r>
        <w:rPr>
          <w:sz w:val="24"/>
          <w:lang w:eastAsia="zh-CN"/>
        </w:rPr>
        <w:t>Yanxin</w:t>
      </w:r>
      <w:proofErr w:type="spellEnd"/>
      <w:r>
        <w:rPr>
          <w:sz w:val="24"/>
          <w:lang w:eastAsia="zh-CN"/>
        </w:rPr>
        <w:t xml:space="preserve"> Liu（柳彦昕）, </w:t>
      </w:r>
      <w:proofErr w:type="spellStart"/>
      <w:r>
        <w:rPr>
          <w:sz w:val="24"/>
          <w:lang w:eastAsia="zh-CN"/>
        </w:rPr>
        <w:t>Yingdan</w:t>
      </w:r>
      <w:proofErr w:type="spellEnd"/>
      <w:r>
        <w:rPr>
          <w:sz w:val="24"/>
          <w:lang w:eastAsia="zh-CN"/>
        </w:rPr>
        <w:t xml:space="preserve"> Tang（汤映丹）, Yang Zhao（赵阳）, </w:t>
      </w:r>
      <w:proofErr w:type="spellStart"/>
      <w:r>
        <w:rPr>
          <w:sz w:val="24"/>
          <w:lang w:eastAsia="zh-CN"/>
        </w:rPr>
        <w:t>Xueying</w:t>
      </w:r>
      <w:proofErr w:type="spellEnd"/>
      <w:r>
        <w:rPr>
          <w:sz w:val="24"/>
          <w:lang w:eastAsia="zh-CN"/>
        </w:rPr>
        <w:t xml:space="preserve"> Zhang（张雪颖）,</w:t>
      </w:r>
      <w:proofErr w:type="spellStart"/>
      <w:r>
        <w:rPr>
          <w:sz w:val="24"/>
          <w:lang w:eastAsia="zh-CN"/>
        </w:rPr>
        <w:t>Xun</w:t>
      </w:r>
      <w:proofErr w:type="spellEnd"/>
      <w:r>
        <w:rPr>
          <w:sz w:val="24"/>
          <w:lang w:eastAsia="zh-CN"/>
        </w:rPr>
        <w:t xml:space="preserve"> Chen（陈讯）, </w:t>
      </w:r>
      <w:proofErr w:type="spellStart"/>
      <w:r>
        <w:rPr>
          <w:sz w:val="24"/>
          <w:lang w:eastAsia="zh-CN"/>
        </w:rPr>
        <w:t>Xiaoyan</w:t>
      </w:r>
      <w:proofErr w:type="spellEnd"/>
      <w:r>
        <w:rPr>
          <w:sz w:val="24"/>
          <w:lang w:eastAsia="zh-CN"/>
        </w:rPr>
        <w:t xml:space="preserve"> Ying（应小燕）, </w:t>
      </w:r>
      <w:proofErr w:type="spellStart"/>
      <w:r>
        <w:rPr>
          <w:sz w:val="24"/>
          <w:lang w:eastAsia="zh-CN"/>
        </w:rPr>
        <w:t>Boqun</w:t>
      </w:r>
      <w:proofErr w:type="spellEnd"/>
      <w:r>
        <w:rPr>
          <w:sz w:val="24"/>
          <w:lang w:eastAsia="zh-CN"/>
        </w:rPr>
        <w:t xml:space="preserve"> </w:t>
      </w:r>
      <w:proofErr w:type="spellStart"/>
      <w:r>
        <w:rPr>
          <w:sz w:val="24"/>
          <w:lang w:eastAsia="zh-CN"/>
        </w:rPr>
        <w:t>Xu</w:t>
      </w:r>
      <w:proofErr w:type="spellEnd"/>
      <w:r>
        <w:rPr>
          <w:sz w:val="24"/>
          <w:lang w:eastAsia="zh-CN"/>
        </w:rPr>
        <w:t xml:space="preserve">（许波群 通讯作者）. A Predictive Model for Endometrial Carcinoma Based on </w:t>
      </w:r>
      <w:proofErr w:type="spellStart"/>
      <w:r>
        <w:rPr>
          <w:sz w:val="24"/>
          <w:lang w:eastAsia="zh-CN"/>
        </w:rPr>
        <w:t>Hysteroscopic</w:t>
      </w:r>
      <w:proofErr w:type="spellEnd"/>
      <w:r>
        <w:rPr>
          <w:sz w:val="24"/>
          <w:lang w:eastAsia="zh-CN"/>
        </w:rPr>
        <w:t xml:space="preserve"> Data. </w:t>
      </w:r>
      <w:proofErr w:type="spellStart"/>
      <w:r>
        <w:rPr>
          <w:sz w:val="24"/>
          <w:lang w:eastAsia="zh-CN"/>
        </w:rPr>
        <w:t>Int</w:t>
      </w:r>
      <w:proofErr w:type="spellEnd"/>
      <w:r>
        <w:rPr>
          <w:sz w:val="24"/>
          <w:lang w:eastAsia="zh-CN"/>
        </w:rPr>
        <w:t xml:space="preserve"> J </w:t>
      </w:r>
      <w:proofErr w:type="spellStart"/>
      <w:r>
        <w:rPr>
          <w:sz w:val="24"/>
          <w:lang w:eastAsia="zh-CN"/>
        </w:rPr>
        <w:t>Womens</w:t>
      </w:r>
      <w:proofErr w:type="spellEnd"/>
      <w:r>
        <w:rPr>
          <w:sz w:val="24"/>
          <w:lang w:eastAsia="zh-CN"/>
        </w:rPr>
        <w:t xml:space="preserve"> </w:t>
      </w:r>
      <w:r>
        <w:rPr>
          <w:sz w:val="24"/>
          <w:lang w:eastAsia="zh-CN"/>
        </w:rPr>
        <w:lastRenderedPageBreak/>
        <w:t>Health. 2023</w:t>
      </w:r>
      <w:proofErr w:type="gramStart"/>
      <w:r>
        <w:rPr>
          <w:sz w:val="24"/>
          <w:lang w:eastAsia="zh-CN"/>
        </w:rPr>
        <w:t>;15:1651</w:t>
      </w:r>
      <w:proofErr w:type="gramEnd"/>
      <w:r>
        <w:rPr>
          <w:sz w:val="24"/>
          <w:lang w:eastAsia="zh-CN"/>
        </w:rPr>
        <w:t xml:space="preserve">-1659. Published 2023 Oct 30. doi:10.2147/IJWH.S416864 </w:t>
      </w:r>
    </w:p>
    <w:p w:rsidR="00383CD3" w:rsidRDefault="00BA6A96">
      <w:pPr>
        <w:spacing w:line="360" w:lineRule="auto"/>
        <w:rPr>
          <w:sz w:val="24"/>
          <w:lang w:eastAsia="zh-CN"/>
        </w:rPr>
      </w:pPr>
      <w:r>
        <w:rPr>
          <w:sz w:val="24"/>
          <w:lang w:eastAsia="zh-CN"/>
        </w:rPr>
        <w:t>2.吴浩，张雪颖,陈讯,许波群（通讯作者）. 宫腔镜下子宫内膜形态学在子宫内膜癌诊断中的应用研究进展[J]. 医学综述,2021,27(23):</w:t>
      </w:r>
      <w:proofErr w:type="gramStart"/>
      <w:r>
        <w:rPr>
          <w:sz w:val="24"/>
          <w:lang w:eastAsia="zh-CN"/>
        </w:rPr>
        <w:t>4736-4740. DOI:10.3969/</w:t>
      </w:r>
      <w:proofErr w:type="spellStart"/>
      <w:r>
        <w:rPr>
          <w:sz w:val="24"/>
          <w:lang w:eastAsia="zh-CN"/>
        </w:rPr>
        <w:t>j.issn</w:t>
      </w:r>
      <w:proofErr w:type="spellEnd"/>
      <w:r>
        <w:rPr>
          <w:sz w:val="24"/>
          <w:lang w:eastAsia="zh-CN"/>
        </w:rPr>
        <w:t>.</w:t>
      </w:r>
      <w:proofErr w:type="gramEnd"/>
      <w:r>
        <w:rPr>
          <w:sz w:val="24"/>
          <w:lang w:eastAsia="zh-CN"/>
        </w:rPr>
        <w:t xml:space="preserve"> </w:t>
      </w:r>
      <w:proofErr w:type="gramStart"/>
      <w:r>
        <w:rPr>
          <w:sz w:val="24"/>
          <w:lang w:eastAsia="zh-CN"/>
        </w:rPr>
        <w:t>1006-2084. 2021.23.030.</w:t>
      </w:r>
      <w:proofErr w:type="gramEnd"/>
    </w:p>
    <w:p w:rsidR="00383CD3" w:rsidRDefault="00BA6A96">
      <w:pPr>
        <w:spacing w:line="360" w:lineRule="auto"/>
        <w:rPr>
          <w:sz w:val="24"/>
          <w:lang w:eastAsia="zh-CN"/>
        </w:rPr>
      </w:pPr>
      <w:r>
        <w:rPr>
          <w:sz w:val="24"/>
          <w:lang w:eastAsia="zh-CN"/>
        </w:rPr>
        <w:t>3. 陈琳，陈丹，马</w:t>
      </w:r>
      <w:proofErr w:type="gramStart"/>
      <w:r>
        <w:rPr>
          <w:sz w:val="24"/>
          <w:lang w:eastAsia="zh-CN"/>
        </w:rPr>
        <w:t>於</w:t>
      </w:r>
      <w:proofErr w:type="gramEnd"/>
      <w:r>
        <w:rPr>
          <w:sz w:val="24"/>
          <w:lang w:eastAsia="zh-CN"/>
        </w:rPr>
        <w:t>，许波群（通讯作者）. 基于生物信息学分析子宫内膜癌组织中LCAT的表达及意义[J]. 中国肿瘤外科杂志,2024,16(5):</w:t>
      </w:r>
      <w:proofErr w:type="gramStart"/>
      <w:r>
        <w:rPr>
          <w:sz w:val="24"/>
          <w:lang w:eastAsia="zh-CN"/>
        </w:rPr>
        <w:t>445-450. DOI:10.3969/j.issn.1674-4136.</w:t>
      </w:r>
      <w:proofErr w:type="gramEnd"/>
      <w:r>
        <w:rPr>
          <w:sz w:val="24"/>
          <w:lang w:eastAsia="zh-CN"/>
        </w:rPr>
        <w:t xml:space="preserve"> </w:t>
      </w:r>
      <w:proofErr w:type="gramStart"/>
      <w:r>
        <w:rPr>
          <w:sz w:val="24"/>
          <w:lang w:eastAsia="zh-CN"/>
        </w:rPr>
        <w:t>2024.05.006.</w:t>
      </w:r>
      <w:proofErr w:type="gramEnd"/>
    </w:p>
    <w:p w:rsidR="00383CD3" w:rsidRDefault="00BA6A96">
      <w:pPr>
        <w:spacing w:line="360" w:lineRule="auto"/>
        <w:rPr>
          <w:sz w:val="24"/>
          <w:lang w:eastAsia="zh-CN"/>
        </w:rPr>
      </w:pPr>
      <w:r>
        <w:rPr>
          <w:sz w:val="24"/>
          <w:lang w:eastAsia="zh-CN"/>
        </w:rPr>
        <w:t>4.</w:t>
      </w:r>
      <w:r>
        <w:rPr>
          <w:rFonts w:hint="eastAsia"/>
          <w:sz w:val="24"/>
          <w:lang w:eastAsia="zh-CN"/>
        </w:rPr>
        <w:t xml:space="preserve"> </w:t>
      </w:r>
      <w:r>
        <w:rPr>
          <w:sz w:val="24"/>
          <w:lang w:eastAsia="zh-CN"/>
        </w:rPr>
        <w:t>Yong Li，</w:t>
      </w:r>
      <w:proofErr w:type="spellStart"/>
      <w:r>
        <w:rPr>
          <w:sz w:val="24"/>
          <w:lang w:eastAsia="zh-CN"/>
        </w:rPr>
        <w:t>Chengcai</w:t>
      </w:r>
      <w:proofErr w:type="spellEnd"/>
      <w:r>
        <w:rPr>
          <w:sz w:val="24"/>
          <w:lang w:eastAsia="zh-CN"/>
        </w:rPr>
        <w:t xml:space="preserve"> Kong </w:t>
      </w:r>
      <w:proofErr w:type="spellStart"/>
      <w:r>
        <w:rPr>
          <w:sz w:val="24"/>
          <w:lang w:eastAsia="zh-CN"/>
        </w:rPr>
        <w:t>Chaoying</w:t>
      </w:r>
      <w:proofErr w:type="spellEnd"/>
      <w:r>
        <w:rPr>
          <w:sz w:val="24"/>
          <w:lang w:eastAsia="zh-CN"/>
        </w:rPr>
        <w:t xml:space="preserve"> Wu </w:t>
      </w:r>
      <w:proofErr w:type="spellStart"/>
      <w:r>
        <w:rPr>
          <w:sz w:val="24"/>
          <w:lang w:eastAsia="zh-CN"/>
        </w:rPr>
        <w:t>Yingqiao</w:t>
      </w:r>
      <w:proofErr w:type="spellEnd"/>
      <w:r>
        <w:rPr>
          <w:sz w:val="24"/>
          <w:lang w:eastAsia="zh-CN"/>
        </w:rPr>
        <w:t xml:space="preserve"> Wang </w:t>
      </w:r>
      <w:proofErr w:type="spellStart"/>
      <w:r>
        <w:rPr>
          <w:sz w:val="24"/>
          <w:lang w:eastAsia="zh-CN"/>
        </w:rPr>
        <w:t>Boqun</w:t>
      </w:r>
      <w:proofErr w:type="spellEnd"/>
      <w:r>
        <w:rPr>
          <w:sz w:val="24"/>
          <w:lang w:eastAsia="zh-CN"/>
        </w:rPr>
        <w:t xml:space="preserve"> </w:t>
      </w:r>
      <w:proofErr w:type="spellStart"/>
      <w:r>
        <w:rPr>
          <w:sz w:val="24"/>
          <w:lang w:eastAsia="zh-CN"/>
        </w:rPr>
        <w:t>Xu</w:t>
      </w:r>
      <w:proofErr w:type="spellEnd"/>
      <w:r>
        <w:rPr>
          <w:sz w:val="24"/>
          <w:lang w:eastAsia="zh-CN"/>
        </w:rPr>
        <w:t xml:space="preserve">， </w:t>
      </w:r>
      <w:proofErr w:type="spellStart"/>
      <w:r>
        <w:rPr>
          <w:sz w:val="24"/>
          <w:lang w:eastAsia="zh-CN"/>
        </w:rPr>
        <w:t>Shenglian</w:t>
      </w:r>
      <w:proofErr w:type="spellEnd"/>
      <w:r>
        <w:rPr>
          <w:sz w:val="24"/>
          <w:lang w:eastAsia="zh-CN"/>
        </w:rPr>
        <w:t xml:space="preserve"> Liang and </w:t>
      </w:r>
      <w:proofErr w:type="spellStart"/>
      <w:r>
        <w:rPr>
          <w:sz w:val="24"/>
          <w:lang w:eastAsia="zh-CN"/>
        </w:rPr>
        <w:t>Xiaoyan</w:t>
      </w:r>
      <w:proofErr w:type="spellEnd"/>
      <w:r>
        <w:rPr>
          <w:sz w:val="24"/>
          <w:lang w:eastAsia="zh-CN"/>
        </w:rPr>
        <w:t xml:space="preserve"> Ying, Knocking down of LINC01220 inhibits proliferation</w:t>
      </w:r>
      <w:r>
        <w:rPr>
          <w:rFonts w:hint="eastAsia"/>
          <w:sz w:val="24"/>
          <w:lang w:eastAsia="zh-CN"/>
        </w:rPr>
        <w:t xml:space="preserve"> </w:t>
      </w:r>
      <w:r>
        <w:rPr>
          <w:sz w:val="24"/>
          <w:lang w:eastAsia="zh-CN"/>
        </w:rPr>
        <w:t xml:space="preserve">and induces apoptosis of endometrial carcinoma through silencing MAPK11. Bioscience Reports (2019) 39  </w:t>
      </w:r>
    </w:p>
    <w:p w:rsidR="00383CD3" w:rsidRDefault="00BA6A96">
      <w:pPr>
        <w:spacing w:line="360" w:lineRule="auto"/>
        <w:rPr>
          <w:sz w:val="24"/>
          <w:lang w:eastAsia="zh-CN"/>
        </w:rPr>
      </w:pPr>
      <w:r>
        <w:rPr>
          <w:sz w:val="24"/>
          <w:lang w:eastAsia="zh-CN"/>
        </w:rPr>
        <w:t>5. 子宫内膜癌宫腔镜下形态学诊断模型的建立，2021年度南京市卫生科技发展专项资金项目，3万，主持人 许波群，已结题。</w:t>
      </w:r>
    </w:p>
    <w:p w:rsidR="00383CD3" w:rsidRDefault="00383CD3">
      <w:pPr>
        <w:pStyle w:val="a3"/>
        <w:spacing w:before="186" w:line="360" w:lineRule="auto"/>
        <w:ind w:right="138"/>
        <w:rPr>
          <w:spacing w:val="7"/>
          <w:sz w:val="31"/>
          <w:szCs w:val="31"/>
          <w:lang w:eastAsia="zh-CN"/>
        </w:rPr>
      </w:pPr>
    </w:p>
    <w:p w:rsidR="00383CD3" w:rsidRDefault="00383CD3">
      <w:pPr>
        <w:pStyle w:val="a3"/>
        <w:spacing w:before="186" w:line="360" w:lineRule="auto"/>
        <w:ind w:right="138"/>
        <w:rPr>
          <w:spacing w:val="7"/>
          <w:sz w:val="31"/>
          <w:szCs w:val="31"/>
          <w:lang w:eastAsia="zh-CN"/>
        </w:rPr>
      </w:pPr>
    </w:p>
    <w:p w:rsidR="00383CD3" w:rsidRDefault="00BA6A96">
      <w:pPr>
        <w:pStyle w:val="a3"/>
        <w:spacing w:before="186" w:line="360" w:lineRule="auto"/>
        <w:ind w:right="138"/>
        <w:rPr>
          <w:spacing w:val="7"/>
          <w:sz w:val="31"/>
          <w:szCs w:val="31"/>
          <w:lang w:eastAsia="zh-CN"/>
        </w:rPr>
      </w:pPr>
      <w:r>
        <w:rPr>
          <w:spacing w:val="7"/>
          <w:sz w:val="31"/>
          <w:szCs w:val="31"/>
          <w:lang w:eastAsia="zh-CN"/>
        </w:rPr>
        <w:t>五、主要完成人及完成单位情况</w:t>
      </w:r>
    </w:p>
    <w:tbl>
      <w:tblPr>
        <w:tblStyle w:val="TableNormal"/>
        <w:tblW w:w="85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3"/>
        <w:gridCol w:w="2293"/>
        <w:gridCol w:w="4783"/>
      </w:tblGrid>
      <w:tr w:rsidR="00383CD3">
        <w:trPr>
          <w:trHeight w:val="524"/>
        </w:trPr>
        <w:tc>
          <w:tcPr>
            <w:tcW w:w="1443" w:type="dxa"/>
          </w:tcPr>
          <w:p w:rsidR="00383CD3" w:rsidRDefault="00BA6A96">
            <w:pPr>
              <w:spacing w:before="121" w:line="360" w:lineRule="auto"/>
              <w:ind w:left="496"/>
              <w:jc w:val="both"/>
              <w:rPr>
                <w:rFonts w:ascii="Times New Roman" w:eastAsia="仿宋" w:hAnsi="Times New Roman" w:cs="Times New Roman"/>
                <w:b/>
                <w:bCs/>
                <w:sz w:val="28"/>
                <w:szCs w:val="28"/>
              </w:rPr>
            </w:pPr>
            <w:proofErr w:type="spellStart"/>
            <w:r>
              <w:rPr>
                <w:rFonts w:ascii="Times New Roman" w:eastAsia="仿宋" w:hAnsi="Times New Roman" w:cs="Times New Roman"/>
                <w:b/>
                <w:bCs/>
                <w:spacing w:val="-3"/>
                <w:sz w:val="28"/>
                <w:szCs w:val="28"/>
              </w:rPr>
              <w:t>排名</w:t>
            </w:r>
            <w:proofErr w:type="spellEnd"/>
          </w:p>
        </w:tc>
        <w:tc>
          <w:tcPr>
            <w:tcW w:w="2293" w:type="dxa"/>
          </w:tcPr>
          <w:p w:rsidR="00383CD3" w:rsidRDefault="00BA6A96">
            <w:pPr>
              <w:spacing w:before="121" w:line="360" w:lineRule="auto"/>
              <w:ind w:left="1082"/>
              <w:jc w:val="both"/>
              <w:rPr>
                <w:rFonts w:ascii="Times New Roman" w:eastAsia="仿宋" w:hAnsi="Times New Roman" w:cs="Times New Roman"/>
                <w:b/>
                <w:bCs/>
                <w:sz w:val="28"/>
                <w:szCs w:val="28"/>
              </w:rPr>
            </w:pPr>
            <w:proofErr w:type="spellStart"/>
            <w:r>
              <w:rPr>
                <w:rFonts w:ascii="Times New Roman" w:eastAsia="仿宋" w:hAnsi="Times New Roman" w:cs="Times New Roman"/>
                <w:b/>
                <w:bCs/>
                <w:spacing w:val="-3"/>
                <w:sz w:val="28"/>
                <w:szCs w:val="28"/>
              </w:rPr>
              <w:t>姓名</w:t>
            </w:r>
            <w:proofErr w:type="spellEnd"/>
          </w:p>
        </w:tc>
        <w:tc>
          <w:tcPr>
            <w:tcW w:w="4783" w:type="dxa"/>
          </w:tcPr>
          <w:p w:rsidR="00383CD3" w:rsidRDefault="00BA6A96">
            <w:pPr>
              <w:spacing w:before="121" w:line="360" w:lineRule="auto"/>
              <w:ind w:left="2154"/>
              <w:jc w:val="both"/>
              <w:rPr>
                <w:rFonts w:ascii="Times New Roman" w:eastAsia="仿宋" w:hAnsi="Times New Roman" w:cs="Times New Roman"/>
                <w:b/>
                <w:bCs/>
                <w:sz w:val="28"/>
                <w:szCs w:val="28"/>
              </w:rPr>
            </w:pPr>
            <w:proofErr w:type="spellStart"/>
            <w:r>
              <w:rPr>
                <w:rFonts w:ascii="Times New Roman" w:eastAsia="仿宋" w:hAnsi="Times New Roman" w:cs="Times New Roman"/>
                <w:b/>
                <w:bCs/>
                <w:spacing w:val="-5"/>
                <w:sz w:val="28"/>
                <w:szCs w:val="28"/>
              </w:rPr>
              <w:t>单位</w:t>
            </w:r>
            <w:proofErr w:type="spellEnd"/>
          </w:p>
        </w:tc>
      </w:tr>
      <w:tr w:rsidR="00383CD3">
        <w:trPr>
          <w:trHeight w:val="519"/>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1</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许波群</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35"/>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2</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应小燕</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19"/>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3</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吴浩</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南京医科大学附属逸夫医院</w:t>
            </w:r>
          </w:p>
        </w:tc>
      </w:tr>
      <w:tr w:rsidR="00383CD3">
        <w:trPr>
          <w:trHeight w:val="524"/>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4</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陈云霞</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24"/>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5</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赵冬梅</w:t>
            </w:r>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r w:rsidR="00383CD3">
        <w:trPr>
          <w:trHeight w:val="533"/>
        </w:trPr>
        <w:tc>
          <w:tcPr>
            <w:tcW w:w="144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6</w:t>
            </w:r>
          </w:p>
        </w:tc>
        <w:tc>
          <w:tcPr>
            <w:tcW w:w="229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proofErr w:type="gramStart"/>
            <w:r>
              <w:rPr>
                <w:rFonts w:ascii="Times New Roman" w:hAnsi="Times New Roman" w:cs="Times New Roman" w:hint="eastAsia"/>
                <w:spacing w:val="7"/>
                <w:sz w:val="24"/>
                <w:szCs w:val="24"/>
                <w:lang w:eastAsia="zh-CN"/>
              </w:rPr>
              <w:t>戴丽利</w:t>
            </w:r>
            <w:proofErr w:type="gramEnd"/>
          </w:p>
        </w:tc>
        <w:tc>
          <w:tcPr>
            <w:tcW w:w="4783" w:type="dxa"/>
          </w:tcPr>
          <w:p w:rsidR="00383CD3" w:rsidRDefault="00BA6A96">
            <w:pPr>
              <w:pStyle w:val="a3"/>
              <w:spacing w:before="188" w:line="219" w:lineRule="auto"/>
              <w:ind w:left="779"/>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南京医科大学第二附属医院</w:t>
            </w:r>
          </w:p>
        </w:tc>
      </w:tr>
    </w:tbl>
    <w:p w:rsidR="00383CD3" w:rsidRDefault="00383CD3">
      <w:pPr>
        <w:pStyle w:val="a3"/>
        <w:spacing w:before="188" w:line="219" w:lineRule="auto"/>
        <w:ind w:left="779"/>
        <w:rPr>
          <w:spacing w:val="8"/>
          <w:sz w:val="31"/>
          <w:szCs w:val="31"/>
          <w:lang w:eastAsia="zh-CN"/>
        </w:rPr>
      </w:pPr>
    </w:p>
    <w:p w:rsidR="00383CD3" w:rsidRDefault="00BA6A96">
      <w:pPr>
        <w:pStyle w:val="a3"/>
        <w:spacing w:before="186" w:line="279" w:lineRule="auto"/>
        <w:ind w:right="138"/>
        <w:rPr>
          <w:spacing w:val="7"/>
          <w:sz w:val="31"/>
          <w:szCs w:val="31"/>
          <w:lang w:eastAsia="zh-CN"/>
        </w:rPr>
      </w:pPr>
      <w:r>
        <w:rPr>
          <w:spacing w:val="7"/>
          <w:sz w:val="31"/>
          <w:szCs w:val="31"/>
          <w:lang w:eastAsia="zh-CN"/>
        </w:rPr>
        <w:t>六、主要完成单位及排名情况</w:t>
      </w:r>
    </w:p>
    <w:tbl>
      <w:tblPr>
        <w:tblStyle w:val="TableNormal"/>
        <w:tblW w:w="90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0"/>
        <w:gridCol w:w="7550"/>
      </w:tblGrid>
      <w:tr w:rsidR="00383CD3">
        <w:trPr>
          <w:trHeight w:val="577"/>
        </w:trPr>
        <w:tc>
          <w:tcPr>
            <w:tcW w:w="1540" w:type="dxa"/>
          </w:tcPr>
          <w:p w:rsidR="00383CD3" w:rsidRDefault="00BA6A96">
            <w:pPr>
              <w:pStyle w:val="a3"/>
              <w:spacing w:before="188" w:line="219" w:lineRule="auto"/>
              <w:jc w:val="center"/>
              <w:rPr>
                <w:rFonts w:ascii="Times New Roman" w:hAnsi="Times New Roman" w:cs="Times New Roman"/>
                <w:b/>
                <w:bCs/>
                <w:spacing w:val="7"/>
              </w:rPr>
            </w:pPr>
            <w:proofErr w:type="spellStart"/>
            <w:r>
              <w:rPr>
                <w:rFonts w:ascii="Times New Roman" w:hAnsi="Times New Roman" w:cs="Times New Roman"/>
                <w:b/>
                <w:bCs/>
                <w:spacing w:val="7"/>
              </w:rPr>
              <w:lastRenderedPageBreak/>
              <w:t>排名</w:t>
            </w:r>
            <w:proofErr w:type="spellEnd"/>
          </w:p>
        </w:tc>
        <w:tc>
          <w:tcPr>
            <w:tcW w:w="7550" w:type="dxa"/>
          </w:tcPr>
          <w:p w:rsidR="00383CD3" w:rsidRDefault="00BA6A96">
            <w:pPr>
              <w:pStyle w:val="a3"/>
              <w:spacing w:before="188" w:line="219" w:lineRule="auto"/>
              <w:jc w:val="center"/>
              <w:rPr>
                <w:rFonts w:ascii="Times New Roman" w:hAnsi="Times New Roman" w:cs="Times New Roman"/>
                <w:b/>
                <w:bCs/>
                <w:spacing w:val="7"/>
              </w:rPr>
            </w:pPr>
            <w:proofErr w:type="spellStart"/>
            <w:r>
              <w:rPr>
                <w:rFonts w:ascii="Times New Roman" w:hAnsi="Times New Roman" w:cs="Times New Roman"/>
                <w:b/>
                <w:bCs/>
                <w:spacing w:val="7"/>
              </w:rPr>
              <w:t>单位名称</w:t>
            </w:r>
            <w:proofErr w:type="spellEnd"/>
          </w:p>
        </w:tc>
      </w:tr>
      <w:tr w:rsidR="00383CD3">
        <w:trPr>
          <w:trHeight w:val="574"/>
        </w:trPr>
        <w:tc>
          <w:tcPr>
            <w:tcW w:w="1540" w:type="dxa"/>
          </w:tcPr>
          <w:p w:rsidR="00383CD3" w:rsidRDefault="00BA6A96">
            <w:pPr>
              <w:pStyle w:val="a3"/>
              <w:spacing w:before="188" w:line="219" w:lineRule="auto"/>
              <w:ind w:left="779"/>
              <w:jc w:val="both"/>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1</w:t>
            </w:r>
          </w:p>
        </w:tc>
        <w:tc>
          <w:tcPr>
            <w:tcW w:w="7550" w:type="dxa"/>
          </w:tcPr>
          <w:p w:rsidR="00383CD3" w:rsidRDefault="00BA6A96">
            <w:pPr>
              <w:pStyle w:val="a3"/>
              <w:spacing w:before="188" w:line="219" w:lineRule="auto"/>
              <w:ind w:left="779"/>
              <w:jc w:val="center"/>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南京医科大学第二附属医院</w:t>
            </w:r>
          </w:p>
        </w:tc>
      </w:tr>
      <w:tr w:rsidR="00383CD3">
        <w:trPr>
          <w:trHeight w:val="572"/>
        </w:trPr>
        <w:tc>
          <w:tcPr>
            <w:tcW w:w="1540" w:type="dxa"/>
          </w:tcPr>
          <w:p w:rsidR="00383CD3" w:rsidRDefault="00BA6A96">
            <w:pPr>
              <w:pStyle w:val="a3"/>
              <w:spacing w:before="188" w:line="219" w:lineRule="auto"/>
              <w:ind w:left="779"/>
              <w:jc w:val="both"/>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2</w:t>
            </w:r>
          </w:p>
        </w:tc>
        <w:tc>
          <w:tcPr>
            <w:tcW w:w="7550" w:type="dxa"/>
          </w:tcPr>
          <w:p w:rsidR="00383CD3" w:rsidRDefault="00BA6A96">
            <w:pPr>
              <w:pStyle w:val="a3"/>
              <w:spacing w:before="188" w:line="219" w:lineRule="auto"/>
              <w:ind w:left="779"/>
              <w:jc w:val="center"/>
              <w:rPr>
                <w:rFonts w:ascii="Times New Roman" w:hAnsi="Times New Roman" w:cs="Times New Roman"/>
                <w:spacing w:val="7"/>
                <w:sz w:val="24"/>
                <w:szCs w:val="24"/>
                <w:lang w:eastAsia="zh-CN"/>
              </w:rPr>
            </w:pPr>
            <w:r>
              <w:rPr>
                <w:rFonts w:ascii="Times New Roman" w:hAnsi="Times New Roman" w:cs="Times New Roman" w:hint="eastAsia"/>
                <w:spacing w:val="7"/>
                <w:sz w:val="24"/>
                <w:szCs w:val="24"/>
                <w:lang w:eastAsia="zh-CN"/>
              </w:rPr>
              <w:t>南京医科大学附属逸夫医院</w:t>
            </w:r>
          </w:p>
        </w:tc>
      </w:tr>
      <w:tr w:rsidR="00383CD3">
        <w:trPr>
          <w:trHeight w:val="577"/>
        </w:trPr>
        <w:tc>
          <w:tcPr>
            <w:tcW w:w="1540" w:type="dxa"/>
          </w:tcPr>
          <w:p w:rsidR="00383CD3" w:rsidRDefault="00383CD3">
            <w:pPr>
              <w:pStyle w:val="a3"/>
              <w:spacing w:before="188" w:line="219" w:lineRule="auto"/>
              <w:ind w:left="779"/>
              <w:jc w:val="both"/>
              <w:rPr>
                <w:rFonts w:ascii="Times New Roman" w:hAnsi="Times New Roman" w:cs="Times New Roman"/>
                <w:spacing w:val="7"/>
                <w:sz w:val="31"/>
                <w:szCs w:val="31"/>
                <w:lang w:eastAsia="zh-CN"/>
              </w:rPr>
            </w:pPr>
          </w:p>
        </w:tc>
        <w:tc>
          <w:tcPr>
            <w:tcW w:w="7550" w:type="dxa"/>
          </w:tcPr>
          <w:p w:rsidR="00383CD3" w:rsidRDefault="00383CD3">
            <w:pPr>
              <w:pStyle w:val="a3"/>
              <w:spacing w:before="188" w:line="219" w:lineRule="auto"/>
              <w:ind w:left="779"/>
              <w:rPr>
                <w:rFonts w:ascii="Times New Roman" w:hAnsi="Times New Roman" w:cs="Times New Roman"/>
                <w:spacing w:val="7"/>
                <w:sz w:val="31"/>
                <w:szCs w:val="31"/>
                <w:lang w:eastAsia="zh-CN"/>
              </w:rPr>
            </w:pPr>
          </w:p>
        </w:tc>
      </w:tr>
    </w:tbl>
    <w:p w:rsidR="00383CD3" w:rsidRDefault="00383CD3">
      <w:pPr>
        <w:spacing w:line="294" w:lineRule="auto"/>
        <w:rPr>
          <w:lang w:eastAsia="zh-CN"/>
        </w:rPr>
      </w:pPr>
    </w:p>
    <w:p w:rsidR="00383CD3" w:rsidRDefault="00383CD3">
      <w:pPr>
        <w:pStyle w:val="a3"/>
        <w:spacing w:before="188" w:line="219" w:lineRule="auto"/>
        <w:ind w:left="779"/>
        <w:rPr>
          <w:rFonts w:ascii="Arial"/>
          <w:sz w:val="21"/>
          <w:lang w:eastAsia="zh-CN"/>
        </w:rPr>
      </w:pPr>
    </w:p>
    <w:p w:rsidR="00383CD3" w:rsidRDefault="00BA6A96">
      <w:pPr>
        <w:pStyle w:val="a3"/>
        <w:spacing w:before="101" w:line="222" w:lineRule="auto"/>
        <w:jc w:val="right"/>
        <w:rPr>
          <w:sz w:val="31"/>
          <w:szCs w:val="31"/>
          <w:lang w:eastAsia="zh-CN"/>
        </w:rPr>
      </w:pPr>
      <w:r>
        <w:rPr>
          <w:spacing w:val="-2"/>
          <w:sz w:val="31"/>
          <w:szCs w:val="31"/>
          <w:lang w:eastAsia="zh-CN"/>
        </w:rPr>
        <w:t>公示单位：</w:t>
      </w:r>
      <w:r>
        <w:rPr>
          <w:rFonts w:hint="eastAsia"/>
          <w:spacing w:val="-21"/>
          <w:sz w:val="31"/>
          <w:szCs w:val="31"/>
          <w:lang w:eastAsia="zh-CN"/>
        </w:rPr>
        <w:t>南京医科大学附属逸夫医院</w:t>
      </w:r>
      <w:r>
        <w:rPr>
          <w:spacing w:val="24"/>
          <w:sz w:val="31"/>
          <w:szCs w:val="31"/>
          <w:lang w:eastAsia="zh-CN"/>
        </w:rPr>
        <w:t xml:space="preserve">  </w:t>
      </w:r>
    </w:p>
    <w:p w:rsidR="00383CD3" w:rsidRDefault="00752BEB">
      <w:pPr>
        <w:pStyle w:val="a3"/>
        <w:spacing w:before="221" w:line="224" w:lineRule="auto"/>
        <w:ind w:left="5363"/>
        <w:jc w:val="right"/>
      </w:pPr>
      <w:r>
        <w:rPr>
          <w:rFonts w:hint="eastAsia"/>
          <w:spacing w:val="-16"/>
          <w:sz w:val="31"/>
          <w:szCs w:val="31"/>
          <w:lang w:eastAsia="zh-CN"/>
        </w:rPr>
        <w:t>2025</w:t>
      </w:r>
      <w:r w:rsidR="00BA6A96">
        <w:rPr>
          <w:spacing w:val="-16"/>
          <w:sz w:val="31"/>
          <w:szCs w:val="31"/>
        </w:rPr>
        <w:t>年</w:t>
      </w:r>
      <w:r>
        <w:rPr>
          <w:rFonts w:hint="eastAsia"/>
          <w:spacing w:val="17"/>
          <w:sz w:val="31"/>
          <w:szCs w:val="31"/>
          <w:lang w:eastAsia="zh-CN"/>
        </w:rPr>
        <w:t>2</w:t>
      </w:r>
      <w:r w:rsidR="00BA6A96">
        <w:rPr>
          <w:spacing w:val="-16"/>
          <w:sz w:val="31"/>
          <w:szCs w:val="31"/>
        </w:rPr>
        <w:t>月</w:t>
      </w:r>
      <w:r>
        <w:rPr>
          <w:rFonts w:hint="eastAsia"/>
          <w:spacing w:val="35"/>
          <w:sz w:val="31"/>
          <w:szCs w:val="31"/>
          <w:lang w:eastAsia="zh-CN"/>
        </w:rPr>
        <w:t>1</w:t>
      </w:r>
      <w:r w:rsidR="00AB0E5B">
        <w:rPr>
          <w:rFonts w:hint="eastAsia"/>
          <w:spacing w:val="35"/>
          <w:sz w:val="31"/>
          <w:szCs w:val="31"/>
          <w:lang w:eastAsia="zh-CN"/>
        </w:rPr>
        <w:t>4</w:t>
      </w:r>
      <w:bookmarkStart w:id="0" w:name="_GoBack"/>
      <w:bookmarkEnd w:id="0"/>
      <w:r w:rsidR="00BA6A96">
        <w:rPr>
          <w:spacing w:val="-16"/>
          <w:sz w:val="31"/>
          <w:szCs w:val="31"/>
        </w:rPr>
        <w:t>日</w:t>
      </w:r>
    </w:p>
    <w:sectPr w:rsidR="00383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A8" w:rsidRDefault="00967FA8">
      <w:r>
        <w:separator/>
      </w:r>
    </w:p>
  </w:endnote>
  <w:endnote w:type="continuationSeparator" w:id="0">
    <w:p w:rsidR="00967FA8" w:rsidRDefault="0096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A8" w:rsidRDefault="00967FA8">
      <w:r>
        <w:separator/>
      </w:r>
    </w:p>
  </w:footnote>
  <w:footnote w:type="continuationSeparator" w:id="0">
    <w:p w:rsidR="00967FA8" w:rsidRDefault="00967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47C3"/>
    <w:multiLevelType w:val="singleLevel"/>
    <w:tmpl w:val="836D47C3"/>
    <w:lvl w:ilvl="0">
      <w:start w:val="4"/>
      <w:numFmt w:val="chineseCounting"/>
      <w:suff w:val="nothing"/>
      <w:lvlText w:val="%1、"/>
      <w:lvlJc w:val="left"/>
      <w:rPr>
        <w:rFonts w:hint="eastAsia"/>
      </w:rPr>
    </w:lvl>
  </w:abstractNum>
  <w:abstractNum w:abstractNumId="1">
    <w:nsid w:val="A1C3A4E8"/>
    <w:multiLevelType w:val="singleLevel"/>
    <w:tmpl w:val="A1C3A4E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GQzY2FlY2FjZDVkODRlNjQyZjYxMzc1MGFiMmYifQ=="/>
    <w:docVar w:name="KSO_WPS_MARK_KEY" w:val="3ddba221-3aa2-4bb5-a3b0-2c3004ced6a1"/>
  </w:docVars>
  <w:rsids>
    <w:rsidRoot w:val="155F1588"/>
    <w:rsid w:val="00383CD3"/>
    <w:rsid w:val="00752BEB"/>
    <w:rsid w:val="00967FA8"/>
    <w:rsid w:val="00AB0E5B"/>
    <w:rsid w:val="00BA6A96"/>
    <w:rsid w:val="04EA1F81"/>
    <w:rsid w:val="0A10048F"/>
    <w:rsid w:val="0EAF6971"/>
    <w:rsid w:val="11340524"/>
    <w:rsid w:val="113A211D"/>
    <w:rsid w:val="116457F1"/>
    <w:rsid w:val="148D6FE1"/>
    <w:rsid w:val="155F1588"/>
    <w:rsid w:val="157163C4"/>
    <w:rsid w:val="17476C67"/>
    <w:rsid w:val="1A903AFB"/>
    <w:rsid w:val="21490AF2"/>
    <w:rsid w:val="2192506F"/>
    <w:rsid w:val="22BF3F18"/>
    <w:rsid w:val="23307478"/>
    <w:rsid w:val="244119C2"/>
    <w:rsid w:val="2AD64D80"/>
    <w:rsid w:val="2ADB491E"/>
    <w:rsid w:val="31D80BD0"/>
    <w:rsid w:val="31DD5C45"/>
    <w:rsid w:val="34326287"/>
    <w:rsid w:val="37733B34"/>
    <w:rsid w:val="3A55759E"/>
    <w:rsid w:val="3BBB4F62"/>
    <w:rsid w:val="3D784B3F"/>
    <w:rsid w:val="404020BF"/>
    <w:rsid w:val="406B6C21"/>
    <w:rsid w:val="411E58A2"/>
    <w:rsid w:val="42581E04"/>
    <w:rsid w:val="428C07D7"/>
    <w:rsid w:val="46E8386D"/>
    <w:rsid w:val="48270D4B"/>
    <w:rsid w:val="485F5F74"/>
    <w:rsid w:val="48735D3E"/>
    <w:rsid w:val="49C72D47"/>
    <w:rsid w:val="4B12165D"/>
    <w:rsid w:val="4C651E42"/>
    <w:rsid w:val="50546DFD"/>
    <w:rsid w:val="56B9759F"/>
    <w:rsid w:val="57AB44B9"/>
    <w:rsid w:val="5BD963A8"/>
    <w:rsid w:val="5C807FD4"/>
    <w:rsid w:val="5DFD2E9D"/>
    <w:rsid w:val="5EA467FA"/>
    <w:rsid w:val="5EB97DCB"/>
    <w:rsid w:val="60572AD4"/>
    <w:rsid w:val="62290BAD"/>
    <w:rsid w:val="6ABB6BD9"/>
    <w:rsid w:val="6D2867F4"/>
    <w:rsid w:val="71BB0F3F"/>
    <w:rsid w:val="72CD4A6E"/>
    <w:rsid w:val="75130081"/>
    <w:rsid w:val="767F3EFB"/>
    <w:rsid w:val="792611B8"/>
    <w:rsid w:val="7C5C650E"/>
    <w:rsid w:val="7F38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styleId="a4">
    <w:name w:val="Normal (Web)"/>
    <w:basedOn w:val="a"/>
    <w:uiPriority w:val="99"/>
    <w:unhideWhenUsed/>
    <w:qFormat/>
    <w:pPr>
      <w:spacing w:before="100" w:beforeAutospacing="1" w:after="100" w:afterAutospacing="1"/>
    </w:pPr>
    <w:rPr>
      <w:rFonts w:eastAsia="宋体"/>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8"/>
      <w:szCs w:val="28"/>
    </w:rPr>
  </w:style>
  <w:style w:type="paragraph" w:styleId="a5">
    <w:name w:val="header"/>
    <w:basedOn w:val="a"/>
    <w:link w:val="Char"/>
    <w:rsid w:val="00AB0E5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AB0E5B"/>
    <w:rPr>
      <w:rFonts w:ascii="Arial" w:eastAsia="Arial" w:hAnsi="Arial" w:cs="Arial"/>
      <w:snapToGrid w:val="0"/>
      <w:color w:val="000000"/>
      <w:sz w:val="18"/>
      <w:szCs w:val="18"/>
      <w:lang w:eastAsia="en-US"/>
    </w:rPr>
  </w:style>
  <w:style w:type="paragraph" w:styleId="a6">
    <w:name w:val="footer"/>
    <w:basedOn w:val="a"/>
    <w:link w:val="Char0"/>
    <w:rsid w:val="00AB0E5B"/>
    <w:pPr>
      <w:tabs>
        <w:tab w:val="center" w:pos="4153"/>
        <w:tab w:val="right" w:pos="8306"/>
      </w:tabs>
    </w:pPr>
    <w:rPr>
      <w:sz w:val="18"/>
      <w:szCs w:val="18"/>
    </w:rPr>
  </w:style>
  <w:style w:type="character" w:customStyle="1" w:styleId="Char0">
    <w:name w:val="页脚 Char"/>
    <w:basedOn w:val="a0"/>
    <w:link w:val="a6"/>
    <w:rsid w:val="00AB0E5B"/>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8"/>
      <w:szCs w:val="28"/>
    </w:rPr>
  </w:style>
  <w:style w:type="paragraph" w:styleId="a4">
    <w:name w:val="Normal (Web)"/>
    <w:basedOn w:val="a"/>
    <w:uiPriority w:val="99"/>
    <w:unhideWhenUsed/>
    <w:qFormat/>
    <w:pPr>
      <w:spacing w:before="100" w:beforeAutospacing="1" w:after="100" w:afterAutospacing="1"/>
    </w:pPr>
    <w:rPr>
      <w:rFonts w:eastAsia="宋体"/>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8"/>
      <w:szCs w:val="28"/>
    </w:rPr>
  </w:style>
  <w:style w:type="paragraph" w:styleId="a5">
    <w:name w:val="header"/>
    <w:basedOn w:val="a"/>
    <w:link w:val="Char"/>
    <w:rsid w:val="00AB0E5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AB0E5B"/>
    <w:rPr>
      <w:rFonts w:ascii="Arial" w:eastAsia="Arial" w:hAnsi="Arial" w:cs="Arial"/>
      <w:snapToGrid w:val="0"/>
      <w:color w:val="000000"/>
      <w:sz w:val="18"/>
      <w:szCs w:val="18"/>
      <w:lang w:eastAsia="en-US"/>
    </w:rPr>
  </w:style>
  <w:style w:type="paragraph" w:styleId="a6">
    <w:name w:val="footer"/>
    <w:basedOn w:val="a"/>
    <w:link w:val="Char0"/>
    <w:rsid w:val="00AB0E5B"/>
    <w:pPr>
      <w:tabs>
        <w:tab w:val="center" w:pos="4153"/>
        <w:tab w:val="right" w:pos="8306"/>
      </w:tabs>
    </w:pPr>
    <w:rPr>
      <w:sz w:val="18"/>
      <w:szCs w:val="18"/>
    </w:rPr>
  </w:style>
  <w:style w:type="character" w:customStyle="1" w:styleId="Char0">
    <w:name w:val="页脚 Char"/>
    <w:basedOn w:val="a0"/>
    <w:link w:val="a6"/>
    <w:rsid w:val="00AB0E5B"/>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2349</Characters>
  <Application>Microsoft Office Word</Application>
  <DocSecurity>0</DocSecurity>
  <Lines>19</Lines>
  <Paragraphs>5</Paragraphs>
  <ScaleCrop>false</ScaleCrop>
  <Company>china</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许波群</dc:creator>
  <cp:lastModifiedBy>Administrator</cp:lastModifiedBy>
  <cp:revision>3</cp:revision>
  <dcterms:created xsi:type="dcterms:W3CDTF">2025-02-19T01:46:00Z</dcterms:created>
  <dcterms:modified xsi:type="dcterms:W3CDTF">2025-02-19T07:34:00Z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EE59FA2F68F14686991692029DE5311C_13</vt:lpwstr>
  </property>
  <property fmtid="{D5CDD505-2E9C-101B-9397-08002B2CF9AE}" pid="4" name="KSOTemplateDocerSaveRecord">
    <vt:lpwstr>eyJoZGlkIjoiODNkMTcxNDM0MTNlODQxMDVlM2Q2N2JjMjUwNGJkMmEiLCJ1c2VySWQiOiIzNTM0NDE5NjcifQ==</vt:lpwstr>
  </property>
</Properties>
</file>